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7600" cy="6528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528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 w:before="0"/>
        <w:jc w:val="center"/>
      </w:pPr>
      <w:r>
        <w:rPr>
          <w:rFonts w:ascii="Arial" w:hAnsi="Arial"/>
          <w:b/>
          <w:i w:val="0"/>
          <w:color w:val="3B82F6"/>
          <w:sz w:val="19"/>
        </w:rPr>
        <w:t>NOTA DE PRENSA</w:t>
      </w:r>
    </w:p>
    <w:p>
      <w:pPr>
        <w:spacing w:after="280" w:before="0"/>
        <w:jc w:val="center"/>
      </w:pPr>
      <w:r>
        <w:rPr>
          <w:rFonts w:ascii="Arial" w:hAnsi="Arial"/>
          <w:b w:val="0"/>
          <w:i w:val="0"/>
          <w:color w:val="5A6473"/>
          <w:sz w:val="17"/>
        </w:rPr>
        <w:t>Madrid · 2026</w:t>
      </w:r>
    </w:p>
    <w:p>
      <w:pPr>
        <w:pStyle w:val="Title"/>
        <w:spacing w:after="200" w:before="0"/>
        <w:jc w:val="center"/>
      </w:pPr>
      <w:r>
        <w:rPr>
          <w:rFonts w:ascii="Arial" w:hAnsi="Arial"/>
          <w:b/>
          <w:i w:val="0"/>
          <w:color w:val="141C28"/>
          <w:sz w:val="44"/>
        </w:rPr>
        <w:t>Google, Amazon, OpenAI, Anthropic y Meta aparecen en la telemetría de acceso recurrente al corpus empresarial de ENTIA</w:t>
      </w:r>
    </w:p>
    <w:p>
      <w:pPr>
        <w:spacing w:after="320" w:before="0"/>
        <w:jc w:val="center"/>
      </w:pPr>
      <w:r>
        <w:rPr>
          <w:rFonts w:ascii="Arial" w:hAnsi="Arial"/>
          <w:b w:val="0"/>
          <w:i w:val="0"/>
          <w:color w:val="5A6473"/>
          <w:sz w:val="22"/>
        </w:rPr>
        <w:t>La compañía, con oficinas centrales en Madrid y fundada por el español Fernando Vilches, ha observado más de 20 millones de solicitudes automatizadas durante los últimos seis meses y ha documentado en profundidad una ventana forense de 1,34 millones de solicitudes externas en 19 días sobre una infraestructura global de 11,3 millones de identidades económicas.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437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1,34 M</w:t>
            </w:r>
          </w:p>
          <w:p>
            <w:pPr>
              <w:jc w:val="center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solicitudes externas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243042"/>
                <w:sz w:val="18"/>
              </w:rPr>
              <w:t>19 días compactados</w:t>
            </w:r>
          </w:p>
        </w:tc>
        <w:tc>
          <w:tcPr>
            <w:tcW w:type="dxa" w:w="3437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11,3 M</w:t>
            </w:r>
          </w:p>
          <w:p>
            <w:pPr>
              <w:jc w:val="center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identidades económicas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243042"/>
                <w:sz w:val="18"/>
              </w:rPr>
              <w:t>10 países</w:t>
            </w:r>
          </w:p>
        </w:tc>
        <w:tc>
          <w:tcPr>
            <w:tcW w:type="dxa" w:w="3437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&gt;20 M</w:t>
            </w:r>
          </w:p>
          <w:p>
            <w:pPr>
              <w:jc w:val="center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solicitudes automatizadas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243042"/>
                <w:sz w:val="18"/>
              </w:rPr>
              <w:t>seis meses</w:t>
            </w:r>
          </w:p>
        </w:tc>
      </w:tr>
    </w:tbl>
    <w:p/>
    <w:p>
      <w:pPr>
        <w:pStyle w:val="Heading2"/>
        <w:spacing w:after="0" w:before="0"/>
      </w:pPr>
      <w:r>
        <w:rPr>
          <w:rFonts w:ascii="Arial" w:hAnsi="Arial"/>
          <w:b/>
          <w:i w:val="0"/>
          <w:color w:val="141C28"/>
          <w:sz w:val="21"/>
        </w:rPr>
        <w:t>MADRID —</w:t>
      </w:r>
    </w:p>
    <w:p>
      <w:pPr>
        <w:spacing w:after="140" w:before="0"/>
      </w:pPr>
      <w:r>
        <w:rPr>
          <w:rFonts w:ascii="Arial" w:hAnsi="Arial"/>
          <w:b w:val="0"/>
          <w:i w:val="0"/>
          <w:color w:val="141C28"/>
          <w:sz w:val="21"/>
        </w:rPr>
        <w:t>ENTIA ha documentado un patrón sostenido de acceso automatizado a su infraestructura global de identidad económica. En una ventana forense clasificada entre el 7 y el 27 de julio de 2026, la compañía registró 1.343.701 solicitudes externas durante 19 días compactados, sin interpolar los días 11 y 12 de julio.</w:t>
      </w:r>
    </w:p>
    <w:p>
      <w:pPr>
        <w:spacing w:after="140" w:before="0"/>
      </w:pPr>
      <w:r>
        <w:rPr>
          <w:rFonts w:ascii="Arial" w:hAnsi="Arial"/>
          <w:b w:val="0"/>
          <w:i w:val="0"/>
          <w:color w:val="141C28"/>
          <w:sz w:val="21"/>
        </w:rPr>
        <w:t>Entre las familias de User-Agent observadas figuran Bingbot, Amazonbot, Googlebot, GPTBot, ClaudeBot y Meta-ExternalAgent, asociadas públicamente a Microsoft, Amazon, Google, OpenAI, Anthropic y Meta. ENTIA distingue expresamente entre la declaración contenida en el User-Agent y una atribución jurídica definitiva, que requiere señales de red y validación adicional.</w:t>
      </w:r>
    </w:p>
    <w:p>
      <w:pPr>
        <w:spacing w:after="140" w:before="0"/>
      </w:pPr>
      <w:r>
        <w:rPr>
          <w:rFonts w:ascii="Arial" w:hAnsi="Arial"/>
          <w:b w:val="0"/>
          <w:i w:val="0"/>
          <w:color w:val="141C28"/>
          <w:sz w:val="21"/>
        </w:rPr>
        <w:t>La infraestructura mantiene más de 11,3 millones de identidades económicas en diez países. Cada ENTIA Home es una proyección pública de un grafo canónico de identidad, evidencia y relaciones, preparada para ser consultada por personas, buscadores, LLMs y agentes.</w:t>
      </w:r>
    </w:p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El nuevo problema: acceso sin clic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Durante veinticinco años, gran parte de la economía digital se organizó alrededor del clic. El editor o proveedor publicaba información, una plataforma enviaba tráfico y el valor podía medirse mediante visitas, impresiones y conversiones.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Los agentes y los sistemas de IA alteran esa relación. Pueden acceder, interpretar, sintetizar y utilizar información sin devolver una sesión identificable en proporción al valor consumido. Para ENTIA, el problema no es impedir el acceso máquina, sino crear una relación verificable y económicamente sostenible alrededor de su continuidad.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“Durante veinticinco años medimos el valor mediante el clic. Los agentes están cambiando esa unidad de medida.”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Qué demuestra la telemetría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La telemetría de ENTIA registra solicitudes individuales, rutas, marcas temporales, User-Agents declarados, códigos de respuesta, bytes servidos, comportamiento de caché, recurrencia y persistencia. Los eventos se conservan, compactan y analizan mediante una arquitectura basada en Cloudflare Edge, R2 y DuckDB, con manifiestos y hashes de integridad.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ENTIA limita sus afirmaciones a la capa que puede observar directamente: acceso y entrega. No sostiene que una solicitud demuestre entrenamiento, almacenamiento, embeddings, RAG, integración en un producto o influencia en una respuesta concreta.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“La telemetría demuestra acceso y entrega. No demuestra por sí sola qué ocurre después dentro de un modelo, producto o agente.”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Cinco capas que no deben confundirse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propone separar la interacción entre agentes y fuentes web en cinco capas: acceso, elegibilidad, recuperación, citación e influencia en la respuesta. La evidencia de una capa no debe utilizarse automáticamente para afirmar resultados en otra.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La compañía también distingue entre adquisición persistente del corpus y recuperación episódica en tiempo de respuesta. La primera presenta volumen acumulado, recurrencia y cobertura sostenida; la segunda puede aparecer en ráfagas próximas a una consulta. Persistencia y proximidad son patrones observables, no pruebas automáticas de finalidad interna.</w:t>
      </w:r>
    </w:p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Una propuesta de adhesión, no una nueva integración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no plantea vender una descarga puntual ni obligar a los operadores a desplegar una integración nueva para regularizar una relación ya existente. Su propuesta consiste en formalizar contractualmente la continuidad autorizada del acceso automatizado.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El modelo distingue entre operadores adheridos y no adheridos. La adhesión puede cubrir el corpus actual, nuevas entidades, cambios, correcciones, resolución, evidencia, deltas, continuidad y superficies como API, MCP o grounding, excluyendo redistribución, sublicencia, uso ilícito, reconstrucción competitiva y transferencia no autorizada.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“ENTIA no vende acceso. Vende la continuidad autorizada de un acceso que ya está ocurriendo.”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Un caso europeo sobre una infraestructura global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es una infraestructura global, con oficinas centrales y dirección operativa en Madrid. Su entidad jurídica, PrecisionAI Marketing OÜ, está incorporada en Estonia. El carácter europeo de EMAC procede del marco institucional y regulatorio en el que se presenta el caso, no de una limitación geográfica del producto.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ENTIA ha remitido un expediente técnico e institucional a la Comisión Europea para solicitar un canal técnico, revisión operativa, talleres de interoperabilidad y la evaluación de un piloto limitado. Esa remisión no implica respaldo, selección, adopción ni aprobación por parte de la Comisión.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“ENTIA no pide a Europa que invente un nuevo derecho. Aporta un caso documentado para examinar cómo se aplican en conjunto los derechos y mecanismos que Europa ya ha establecido.”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· Fundador de ENTIA</w:t>
            </w:r>
          </w:p>
        </w:tc>
      </w:tr>
    </w:tbl>
    <w:p/>
    <w:p>
      <w:pPr>
        <w:pStyle w:val="Heading2"/>
        <w:spacing w:before="280" w:after="120"/>
      </w:pPr>
      <w:r>
        <w:rPr>
          <w:rFonts w:ascii="Arial" w:hAnsi="Arial"/>
          <w:b/>
          <w:color w:val="3B82F6"/>
          <w:sz w:val="36"/>
        </w:rPr>
        <w:t>Sobre ENTIA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es una infraestructura global de resolución de identidad económica. Convierte observaciones procedentes de fuentes públicas, oficiales, abiertas o autorizadas en afirmaciones con evidencia, resuelve entidades, mantiene un grafo canónico y publica proyecciones para humanos y máquinas mediante ENTIA Home, API, MCP, grounding y deltas.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El activo principal de ENTIA no es una página ni un dataset estático, sino un grafo e índice canónico mantenido de identidad económica, procedencia, temporalidad, assurance, derechos, releases, correcciones y relaciones.</w:t>
      </w:r>
    </w:p>
    <w:p>
      <w:pPr>
        <w:pStyle w:val="Heading2"/>
        <w:spacing w:before="280" w:after="120"/>
      </w:pPr>
      <w:r>
        <w:rPr>
          <w:rFonts w:ascii="Arial" w:hAnsi="Arial"/>
          <w:b/>
          <w:color w:val="3B82F6"/>
          <w:sz w:val="36"/>
        </w:rPr>
        <w:t>Sobre Fernando Vilches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Fernando Vilches es emprendedor, fundador de ENTIA y experto en infraestructuras de inteligencia artificial y Tech Marketing. Su trayectoria combina marketing, publicidad digital, tecnología y negocio, con experiencia directa desde el lado del anunciante. Desde Madrid estudia cómo los LLMs y los agentes están transformando el modelo económico de Internet.</w:t>
      </w:r>
    </w:p>
    <w:p>
      <w:pPr>
        <w:pStyle w:val="Heading2"/>
        <w:spacing w:before="280" w:after="120"/>
      </w:pPr>
      <w:r>
        <w:rPr>
          <w:rFonts w:ascii="Arial" w:hAnsi="Arial"/>
          <w:b/>
          <w:color w:val="3B82F6"/>
          <w:sz w:val="36"/>
        </w:rPr>
        <w:t>Contacto de prensa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Nombre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07101D"/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Fernando Vilches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Cargo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Fundador de ENTIA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fv@entia.systems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Web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entia.systems</w:t>
            </w:r>
          </w:p>
        </w:tc>
      </w:tr>
    </w:tbl>
    <w:p>
      <w:pPr>
        <w:spacing w:after="0" w:before="200"/>
      </w:pPr>
      <w:r>
        <w:rPr>
          <w:rFonts w:ascii="Arial" w:hAnsi="Arial"/>
          <w:b w:val="0"/>
          <w:i/>
          <w:color w:val="5A6473"/>
          <w:sz w:val="16"/>
        </w:rPr>
        <w:t>Nota metodológica: las cifras históricas de seis meses y la ventana forense de 19 días proceden de la misma infraestructura de telemetría. El acumulado expresa el volumen histórico observado; la ventana de 19 días constituye el conjunto clasificado utilizado para el análisis público detallado.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Nota de prensa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PRENSA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