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749039" cy="6691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9039" cy="6691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  <w:spacing w:after="60"/>
        <w:jc w:val="center"/>
      </w:pPr>
      <w:r>
        <w:rPr>
          <w:rFonts w:ascii="Arial" w:hAnsi="Arial"/>
          <w:b/>
          <w:color w:val="3B82F6"/>
          <w:sz w:val="19"/>
        </w:rPr>
        <w:t>PIEZA 4 · SIETE PREGUNTAS EDITORIALES</w:t>
      </w:r>
    </w:p>
    <w:p>
      <w:pPr>
        <w:pStyle w:val="Title"/>
        <w:spacing w:after="160"/>
        <w:jc w:val="center"/>
      </w:pPr>
      <w:r>
        <w:rPr>
          <w:rFonts w:ascii="Arial" w:hAnsi="Arial"/>
          <w:b/>
          <w:color w:val="141C28"/>
          <w:sz w:val="48"/>
        </w:rPr>
        <w:t>Siete historias posibles dentro del mismo caso</w:t>
      </w:r>
    </w:p>
    <w:p>
      <w:pPr>
        <w:pStyle w:val="Subtitle"/>
        <w:spacing w:after="300"/>
        <w:jc w:val="center"/>
      </w:pPr>
      <w:r>
        <w:rPr>
          <w:rFonts w:ascii="Arial" w:hAnsi="Arial"/>
          <w:b w:val="0"/>
          <w:color w:val="5A6473"/>
          <w:sz w:val="24"/>
        </w:rPr>
        <w:t>Un mapa para periodistas, analistas y entrevistadores.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El caso ENTIA no es una sola historia. Es una intersección entre infraestructura, marketing, agentes, atribución, licencias y regulación.</w:t>
            </w:r>
          </w:p>
        </w:tc>
      </w:tr>
    </w:tbl>
    <w:p/>
    <w:p>
      <w:pPr>
        <w:spacing w:before="300" w:after="120"/>
      </w:pPr>
      <w:r>
        <w:rPr>
          <w:rFonts w:ascii="Arial" w:hAnsi="Arial"/>
          <w:b/>
          <w:color w:val="3B82F6"/>
          <w:sz w:val="44"/>
        </w:rPr>
        <w:t>Cómo usar esta pieza</w:t>
      </w:r>
    </w:p>
    <w:p>
      <w:pPr>
        <w:spacing w:after="120"/>
      </w:pPr>
      <w:r>
        <w:rPr>
          <w:rFonts w:ascii="Arial" w:hAnsi="Arial"/>
          <w:b w:val="0"/>
          <w:color w:val="141C28"/>
          <w:sz w:val="20"/>
        </w:rPr>
        <w:t>Cada pregunta puede funcionar como titular, apertura de entrevista, columna de análisis o enfoque sectorial. Los bloques siguientes incluyen el foco, la historia, el dato, una cita y el límite que debe respetarse.</w:t>
      </w:r>
    </w:p>
    <w:p>
      <w:pPr>
        <w:pStyle w:val="Heading2"/>
        <w:spacing w:before="200" w:after="120"/>
      </w:pPr>
      <w:r>
        <w:rPr>
          <w:rFonts w:ascii="Arial" w:hAnsi="Arial"/>
          <w:b/>
          <w:color w:val="141C28"/>
          <w:sz w:val="28"/>
        </w:rPr>
        <w:t>1. ¿Quién paga la infraestructura que consumen los agentes?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FOCO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Economía de la IA y sostenibilidad de las fuentes.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HISTORIA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Los agentes pueden acceder de forma recurrente a identidades, evidencia y relaciones mantenidas por terceros. La pregunta editorial es quién soporta ese coste cuando el valor se consume sin una devolución proporcional de tráfico.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DATO DE APOYO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Más de 20 millones de solicitudes automatizadas en seis meses; 1,34 millones externas en una ventana forense de 19 días.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CITA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ENTIA no vende acceso. Vende la continuidad autorizada de un acceso que ya está ocurriendo.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LÍMITE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afirmar deuda automática por solicitud ni daño económico unitario.</w:t>
            </w:r>
          </w:p>
        </w:tc>
      </w:tr>
    </w:tbl>
    <w:p/>
    <w:p>
      <w:pPr>
        <w:pStyle w:val="Heading2"/>
        <w:spacing w:before="200" w:after="120"/>
      </w:pPr>
      <w:r>
        <w:rPr>
          <w:rFonts w:ascii="Arial" w:hAnsi="Arial"/>
          <w:b/>
          <w:color w:val="141C28"/>
          <w:sz w:val="28"/>
        </w:rPr>
        <w:t>2. ¿Qué ocurre cuando la IA aparece, pero el clic desaparece?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FOCO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Transformación del marketing y la atribución.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HISTORIA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Durante décadas, el clic funcionó como unidad práctica de distribución, atribución y valor. Los agentes pueden responder sin devolver una visita equivalente. Eso obliga a repensar cómo se mide la influencia y cómo se remunera la infraestructura que alimenta la respuesta.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DATO DE APOYO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telemetría muestra acceso sostenido; la ausencia o reducción de clics debe analizarse por separado.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CITA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Durante veinticinco años medimos el valor mediante el clic. Los agentes están cambiando esa unidad de medida.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LÍMITE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equiparar visibilidad, citación, influencia y tráfico: son capas distintas.</w:t>
            </w:r>
          </w:p>
        </w:tc>
      </w:tr>
    </w:tbl>
    <w:p/>
    <w:p>
      <w:pPr>
        <w:pStyle w:val="Heading2"/>
        <w:spacing w:before="200" w:after="120"/>
      </w:pPr>
      <w:r>
        <w:rPr>
          <w:rFonts w:ascii="Arial" w:hAnsi="Arial"/>
          <w:b/>
          <w:color w:val="141C28"/>
          <w:sz w:val="28"/>
        </w:rPr>
        <w:t>3. ¿Qué demuestra realmente un crawler?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FOCO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Rigor técnico y límites probatorios.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HISTORIA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Un crawler demuestra una solicitud y, si el servidor responde, una entrega. No demuestra por sí solo entrenamiento, almacenamiento, embeddings, RAG ni uso en una respuesta concreta.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DATO DE APOYO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registra ruta, timestamp, User-Agent, respuesta, bytes, caché, recurrencia y persistencia.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CITA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La telemetría demuestra acceso y entrega. No demuestra por sí sola qué ocurre después.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LÍMITE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usar crawling como sinónimo de entrenamiento.</w:t>
            </w:r>
          </w:p>
        </w:tc>
      </w:tr>
    </w:tbl>
    <w:p/>
    <w:p>
      <w:pPr>
        <w:pStyle w:val="Heading2"/>
        <w:spacing w:before="200" w:after="120"/>
      </w:pPr>
      <w:r>
        <w:rPr>
          <w:rFonts w:ascii="Arial" w:hAnsi="Arial"/>
          <w:b/>
          <w:color w:val="141C28"/>
          <w:sz w:val="28"/>
        </w:rPr>
        <w:t>4. ¿Puede saberse quién está detrás de cada solicitud?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FOCO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Atribución técnica y responsabilidad.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HISTORIA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El User-Agent es una declaración del cliente. Puede asociarse públicamente con una familia de bot, pero la atribución reforzada exige señales de red, ASN, reverse DNS y consistencia temporal.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DATO DE APOYO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Bingbot, Amazonbot, Googlebot, GPTBot, ClaudeBot y Meta-ExternalAgent figuran entre las familias observadas.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CITA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Una etiqueta técnica orienta la investigación; no sustituye una atribución jurídica.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LÍMITE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presentar el User-Agent como prueba definitiva de identidad jurídica.</w:t>
            </w:r>
          </w:p>
        </w:tc>
      </w:tr>
    </w:tbl>
    <w:p/>
    <w:p>
      <w:pPr>
        <w:pStyle w:val="Heading2"/>
        <w:spacing w:before="200" w:after="120"/>
      </w:pPr>
      <w:r>
        <w:rPr>
          <w:rFonts w:ascii="Arial" w:hAnsi="Arial"/>
          <w:b/>
          <w:color w:val="141C28"/>
          <w:sz w:val="28"/>
        </w:rPr>
        <w:t>5. ¿Se puede licenciar la continuidad de un acceso que ya existe?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FOCO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Modelo contractual y comercial.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HISTORIA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no plantea vender una copia aislada ni exigir una nueva integración. Propone una adhesión transversal que formalice usos productivos autorizados y continuidad sobre corpus, cambios, correcciones, evidencia y deltas.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DATO DE APOYO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frontera comercial propuesta es operador adherido frente a operador no adherido.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CITA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El acceso ya existe. La licencia habilita su continuidad.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LÍMITE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afirmar que toda solicitud constituye una infracción ni que toda continuidad es automáticamente exigible.</w:t>
            </w:r>
          </w:p>
        </w:tc>
      </w:tr>
    </w:tbl>
    <w:p/>
    <w:p>
      <w:pPr>
        <w:pStyle w:val="Heading2"/>
        <w:spacing w:before="200" w:after="120"/>
      </w:pPr>
      <w:r>
        <w:rPr>
          <w:rFonts w:ascii="Arial" w:hAnsi="Arial"/>
          <w:b/>
          <w:color w:val="141C28"/>
          <w:sz w:val="28"/>
        </w:rPr>
        <w:t>6. ¿Qué puede hacer Europa con un caso así?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FOCO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Aplicación práctica del marco europeo.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HISTORIA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EMAC no pide crear un derecho nuevo. Presenta un caso técnico para examinar cómo interactúan reservas de derechos, bases de datos, transparencia, copyright y obligaciones de modelos de propósito general.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DATO DE APOYO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ha remitido un expediente técnico e institucional y solicita canal técnico, revisión operativa, talleres y un piloto limitado.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CITA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ENTIA no pide a Europa que invente un nuevo derecho.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LÍMITE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afirmar respaldo, aprobación, selección o adopción por parte de la Comisión Europea.</w:t>
            </w:r>
          </w:p>
        </w:tc>
      </w:tr>
    </w:tbl>
    <w:p/>
    <w:p>
      <w:pPr>
        <w:pStyle w:val="Heading2"/>
        <w:spacing w:before="200" w:after="120"/>
      </w:pPr>
      <w:r>
        <w:rPr>
          <w:rFonts w:ascii="Arial" w:hAnsi="Arial"/>
          <w:b/>
          <w:color w:val="141C28"/>
          <w:sz w:val="28"/>
        </w:rPr>
        <w:t>7. ¿Cómo cambia el marketing cuando quien decide es un agente?</w:t>
        <w:br w:type="page"/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FOCO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Tech Marketing y nueva distribución.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HISTORIA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siguiente etapa de Internet no estará organizada únicamente alrededor de personas navegando y haciendo clic. Los agentes acceden, comparan, interpretan y deciden. Las empresas deberán gestionar identidad, evidencia, procedencia y disponibilidad machine-first.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DATO DE APOYO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mantiene más de 11,3 millones de identidades económicas y superficies como ENTIA Home, API, MCP, grounding y deltas.</w:t>
            </w:r>
          </w:p>
        </w:tc>
      </w:tr>
      <w:tr>
        <w:tc>
          <w:tcPr>
            <w:tcW w:type="dxa" w:w="5156"/>
            <w:shd w:fill="0B17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CITA</w:t>
            </w:r>
          </w:p>
        </w:tc>
        <w:tc>
          <w:tcPr>
            <w:tcW w:type="dxa" w:w="5156"/>
            <w:shd w:fill="F8FAF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La siguiente etapa se organizará alrededor de agentes que acceden, interpretan y deciden.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LÍMITE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reducir ENTIA a una agencia GEO, un directorio o una herramienta de optimización de contenidos.</w:t>
            </w:r>
          </w:p>
        </w:tc>
      </w:tr>
    </w:tbl>
    <w:p/>
    <w:p>
      <w:pPr>
        <w:spacing w:before="300" w:after="120"/>
      </w:pPr>
      <w:r>
        <w:rPr>
          <w:rFonts w:ascii="Arial" w:hAnsi="Arial"/>
          <w:b/>
          <w:color w:val="3B82F6"/>
          <w:sz w:val="44"/>
        </w:rPr>
        <w:t>Preguntas rápidas para entrevista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es exactamente una ENTIA Home?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diferencia existe entre acceso, recuperación y citación?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significa que una familia de bot aparezca en la telemetría?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¿Por qué el clic deja de ser una medida suficiente?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obtiene un operador al adherirse?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parte del caso es técnica, cuál es comercial y cuál es regulatoria?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tendría que ocurrir para que ENTIA cambiara una conclusión pública?</w:t>
      </w:r>
    </w:p>
    <w:p>
      <w:pPr>
        <w:spacing w:before="300" w:after="120"/>
      </w:pPr>
      <w:r>
        <w:rPr>
          <w:rFonts w:ascii="Arial" w:hAnsi="Arial"/>
          <w:b/>
          <w:color w:val="3B82F6"/>
          <w:sz w:val="44"/>
        </w:rPr>
        <w:t>Regla editorial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La mejor historia no es la que hace la afirmación más grande. Es la que conecta el dato observado con la pregunta correcta sin saltarse las capas de evidencia.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36" w:left="1123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475569"/>
        <w:sz w:val="16"/>
      </w:rPr>
      <w:t xml:space="preserve">ENTIA · entia.systems/press · fv@entia.systems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Ángulos editoriales</w:t>
    </w:r>
  </w:p>
  <w:tbl>
    <w:tblPr>
      <w:tblW w:type="auto" w:w="0"/>
      <w:jc w:val="center"/>
      <w:tblLayout w:type="fixed"/>
      <w:tblLook w:firstColumn="1" w:firstRow="1" w:lastColumn="0" w:lastRow="0" w:noHBand="0" w:noVBand="1" w:val="04A0"/>
      <w:bottom w:val="single" w:sz="12" w:color="2563EB"/>
      <w:bottom w:val="single" w:sz="12" w:color="2563EB"/>
      <w:bottom w:val="single" w:sz="12" w:color="2563EB"/>
    </w:tblPr>
    <w:tblGrid>
      <w:gridCol w:w="1584"/>
      <w:gridCol w:w="8064"/>
    </w:tblGrid>
    <w:tr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r/>
          <w:r>
            <w:rPr>
              <w:rFonts w:ascii="Aptos Display" w:hAnsi="Aptos Display" w:eastAsia="Aptos Display"/>
              <w:b/>
              <w:color w:val="07101D"/>
              <w:sz w:val="24"/>
            </w:rPr>
            <w:t>ENTIA</w:t>
          </w:r>
        </w:p>
      </w:tc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color w:val="2563EB"/>
              <w:sz w:val="16"/>
            </w:rPr>
            <w:t>EUROPEAN MACHINE ACCESS CASE</w:t>
            <w:br/>
            <w:t>PRESS MATERIAL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 w:eastAsia="Aptos"/>
      <w:color w:val="2430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63E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710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47556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PIEZA 4 · SIETE PREGUNTAS EDITORIALES</dc:title>
  <dc:subject>ENTIA European Machine Access Case press material</dc:subject>
  <dc:creator>ENTIA / PrecisionAI Marketing OÜ</dc:creator>
  <cp:keywords>ENTIA, EMAC, machine access, press room</cp:keywords>
  <dc:description>Official press-room edition. Source: entia.systems/press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