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023360" cy="718106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ntia_logo_official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023360" cy="71810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3"/>
        <w:spacing w:after="60"/>
        <w:jc w:val="center"/>
      </w:pPr>
      <w:r>
        <w:rPr>
          <w:rFonts w:ascii="Arial" w:hAnsi="Arial"/>
          <w:b/>
          <w:color w:val="3B82F6"/>
          <w:sz w:val="20"/>
        </w:rPr>
        <w:t>PIEZA 5 · PERFIL CORPORATIVO</w:t>
      </w:r>
    </w:p>
    <w:p>
      <w:pPr>
        <w:pStyle w:val="Title"/>
        <w:spacing w:after="80"/>
        <w:jc w:val="center"/>
      </w:pPr>
      <w:r>
        <w:rPr>
          <w:rFonts w:ascii="Arial" w:hAnsi="Arial"/>
          <w:b/>
          <w:color w:val="141C28"/>
          <w:sz w:val="58"/>
        </w:rPr>
        <w:t>ENTIA</w:t>
      </w:r>
    </w:p>
    <w:p>
      <w:pPr>
        <w:pStyle w:val="Subtitle"/>
        <w:spacing w:after="360"/>
        <w:jc w:val="center"/>
      </w:pPr>
      <w:r>
        <w:rPr>
          <w:rFonts w:ascii="Arial" w:hAnsi="Arial"/>
          <w:b/>
          <w:color w:val="5A6473"/>
          <w:sz w:val="30"/>
        </w:rPr>
        <w:t>Infraestructura global de resolución de identidad económica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312"/>
      </w:tblGrid>
      <w:tr>
        <w:tc>
          <w:tcPr>
            <w:tcW w:type="dxa" w:w="10312"/>
            <w:shd w:fill="F1F5F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/>
                <w:color w:val="243042"/>
                <w:sz w:val="18"/>
              </w:rPr>
              <w:t>DEFINICIÓN BREVE</w:t>
            </w:r>
          </w:p>
          <w:p>
            <w:r>
              <w:rPr>
                <w:rFonts w:ascii="Aptos" w:hAnsi="Aptos" w:eastAsia="Aptos"/>
                <w:b/>
                <w:color w:val="243042"/>
                <w:sz w:val="18"/>
              </w:rPr>
              <w:t>ENTIA convierte observaciones procedentes de fuentes públicas y oficiales en identidades económicas canónicas, verificables, mantenidas y legibles por máquinas.</w:t>
            </w:r>
          </w:p>
        </w:tc>
      </w:tr>
    </w:tbl>
    <w:p/>
    <w:p>
      <w:pPr>
        <w:pStyle w:val="Heading2"/>
        <w:spacing w:before="320" w:after="140"/>
      </w:pPr>
      <w:r>
        <w:rPr>
          <w:rFonts w:ascii="Arial" w:hAnsi="Arial"/>
          <w:b/>
          <w:color w:val="3B82F6"/>
          <w:sz w:val="48"/>
        </w:rPr>
        <w:t>1. Qué es ENTIA</w:t>
      </w:r>
    </w:p>
    <w:p>
      <w:pPr>
        <w:spacing w:after="120"/>
      </w:pPr>
      <w:r>
        <w:rPr>
          <w:rFonts w:ascii="Arial" w:hAnsi="Arial"/>
          <w:b w:val="0"/>
          <w:color w:val="141C28"/>
          <w:sz w:val="21"/>
        </w:rPr>
        <w:t>ENTIA es una infraestructura global de resolución de identidad económica. Reúne observaciones procedentes de fuentes públicas, oficiales, abiertas o autorizadas; las transforma en afirmaciones con evidencia; resuelve entidades; mantiene un grafo canónico; y publica proyecciones para humanos y máquinas.</w:t>
      </w:r>
    </w:p>
    <w:p>
      <w:pPr>
        <w:spacing w:after="120"/>
      </w:pPr>
      <w:r>
        <w:rPr>
          <w:rFonts w:ascii="Arial" w:hAnsi="Arial"/>
          <w:b w:val="0"/>
          <w:color w:val="141C28"/>
          <w:sz w:val="21"/>
        </w:rPr>
        <w:t>Su función es responder de forma persistente a una pregunta que Internet suele dejar abierta: ¿a qué entidad legal o económica se refiere realmente esta información?</w:t>
      </w:r>
    </w:p>
    <w:p>
      <w:pPr>
        <w:pStyle w:val="Heading2"/>
        <w:spacing w:before="320" w:after="140"/>
      </w:pPr>
      <w:r>
        <w:rPr>
          <w:rFonts w:ascii="Arial" w:hAnsi="Arial"/>
          <w:b/>
          <w:color w:val="3B82F6"/>
          <w:sz w:val="48"/>
        </w:rPr>
        <w:t>2. Qué problema resuelve</w:t>
      </w:r>
    </w:p>
    <w:p>
      <w:pPr>
        <w:pStyle w:val="ListBullet"/>
        <w:spacing w:after="60"/>
      </w:pPr>
      <w:r>
        <w:rPr>
          <w:rFonts w:ascii="Arial" w:hAnsi="Arial"/>
          <w:color w:val="141C28"/>
          <w:sz w:val="20"/>
        </w:rPr>
        <w:t>Ambigüedad entre nombres comerciales, marcas, establecimientos, sucursales y personas jurídicas.</w:t>
      </w:r>
    </w:p>
    <w:p>
      <w:pPr>
        <w:pStyle w:val="ListBullet"/>
        <w:spacing w:after="60"/>
      </w:pPr>
      <w:r>
        <w:rPr>
          <w:rFonts w:ascii="Arial" w:hAnsi="Arial"/>
          <w:color w:val="141C28"/>
          <w:sz w:val="20"/>
        </w:rPr>
        <w:t>Información duplicada, fragmentada, contradictoria o desactualizada.</w:t>
      </w:r>
    </w:p>
    <w:p>
      <w:pPr>
        <w:pStyle w:val="ListBullet"/>
        <w:spacing w:after="60"/>
      </w:pPr>
      <w:r>
        <w:rPr>
          <w:rFonts w:ascii="Arial" w:hAnsi="Arial"/>
          <w:color w:val="141C28"/>
          <w:sz w:val="20"/>
        </w:rPr>
        <w:t>Falta de identificadores canónicos y contexto jurisdiccional.</w:t>
      </w:r>
    </w:p>
    <w:p>
      <w:pPr>
        <w:pStyle w:val="ListBullet"/>
        <w:spacing w:after="60"/>
      </w:pPr>
      <w:r>
        <w:rPr>
          <w:rFonts w:ascii="Arial" w:hAnsi="Arial"/>
          <w:color w:val="141C28"/>
          <w:sz w:val="20"/>
        </w:rPr>
        <w:t>Ausencia de procedencia, temporalidad y estado de verificación a nivel de afirmación.</w:t>
      </w:r>
    </w:p>
    <w:p>
      <w:pPr>
        <w:pStyle w:val="ListBullet"/>
        <w:spacing w:after="60"/>
      </w:pPr>
      <w:r>
        <w:rPr>
          <w:rFonts w:ascii="Arial" w:hAnsi="Arial"/>
          <w:color w:val="141C28"/>
          <w:sz w:val="20"/>
        </w:rPr>
        <w:t>Coste repetido de reconstruir una identidad desde múltiples páginas y fuentes.</w:t>
      </w:r>
    </w:p>
    <w:p>
      <w:pPr>
        <w:pStyle w:val="ListBullet"/>
        <w:spacing w:after="60"/>
      </w:pPr>
      <w:r>
        <w:rPr>
          <w:rFonts w:ascii="Arial" w:hAnsi="Arial"/>
          <w:color w:val="141C28"/>
          <w:sz w:val="20"/>
        </w:rPr>
        <w:t>Falta de una superficie estable, gobernada y observable para sistemas de búsqueda, recuperación y agentes.</w:t>
      </w:r>
    </w:p>
    <w:p>
      <w:pPr>
        <w:pStyle w:val="Heading2"/>
        <w:spacing w:before="320" w:after="140"/>
      </w:pPr>
      <w:r>
        <w:rPr>
          <w:rFonts w:ascii="Arial" w:hAnsi="Arial"/>
          <w:b/>
          <w:color w:val="3B82F6"/>
          <w:sz w:val="48"/>
        </w:rPr>
        <w:t>3. El activo central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312"/>
      </w:tblGrid>
      <w:tr>
        <w:tc>
          <w:tcPr>
            <w:tcW w:type="dxa" w:w="10312"/>
            <w:shd w:fill="F1F5F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/>
                <w:color w:val="243042"/>
                <w:sz w:val="18"/>
              </w:rPr>
              <w:t>ACTIVO PRINCIPAL</w:t>
            </w:r>
          </w:p>
          <w:p>
            <w:r>
              <w:rPr>
                <w:rFonts w:ascii="Aptos" w:hAnsi="Aptos" w:eastAsia="Aptos"/>
                <w:b/>
                <w:color w:val="243042"/>
                <w:sz w:val="18"/>
              </w:rPr>
              <w:t>El activo de ENTIA no es una página, una descarga ni un dataset estático. Es un grafo e índice canónico mantenido de identidad económica, evidencia y relaciones.</w:t>
            </w:r>
          </w:p>
        </w:tc>
      </w:tr>
    </w:tbl>
    <w:p/>
    <w:p>
      <w:pPr>
        <w:spacing w:after="120"/>
      </w:pPr>
      <w:r>
        <w:rPr>
          <w:rFonts w:ascii="Arial" w:hAnsi="Arial"/>
          <w:b w:val="0"/>
          <w:color w:val="141C28"/>
          <w:sz w:val="21"/>
        </w:rPr>
        <w:t>El grafo incorpora, según el objeto y la jurisdicción:</w:t>
      </w:r>
    </w:p>
    <w:p>
      <w:pPr>
        <w:pStyle w:val="ListBullet"/>
        <w:spacing w:after="60"/>
      </w:pPr>
      <w:r>
        <w:rPr>
          <w:rFonts w:ascii="Arial" w:hAnsi="Arial"/>
          <w:color w:val="141C28"/>
          <w:sz w:val="20"/>
        </w:rPr>
        <w:t>afirmaciones gobernadas y su evidencia asociada;</w:t>
      </w:r>
    </w:p>
    <w:p>
      <w:pPr>
        <w:pStyle w:val="ListBullet"/>
        <w:spacing w:after="60"/>
      </w:pPr>
      <w:r>
        <w:rPr>
          <w:rFonts w:ascii="Arial" w:hAnsi="Arial"/>
          <w:color w:val="141C28"/>
          <w:sz w:val="20"/>
        </w:rPr>
        <w:t>procedencia y referencias de fuente;</w:t>
      </w:r>
    </w:p>
    <w:p>
      <w:pPr>
        <w:pStyle w:val="ListBullet"/>
        <w:spacing w:after="60"/>
      </w:pPr>
      <w:r>
        <w:rPr>
          <w:rFonts w:ascii="Arial" w:hAnsi="Arial"/>
          <w:color w:val="141C28"/>
          <w:sz w:val="20"/>
        </w:rPr>
        <w:t>fechas de observación, efectividad y actualización;</w:t>
      </w:r>
    </w:p>
    <w:p>
      <w:pPr>
        <w:pStyle w:val="ListBullet"/>
        <w:spacing w:after="60"/>
      </w:pPr>
      <w:r>
        <w:rPr>
          <w:rFonts w:ascii="Arial" w:hAnsi="Arial"/>
          <w:color w:val="141C28"/>
          <w:sz w:val="20"/>
        </w:rPr>
        <w:t>niveles de assurance, contradicciones y estado de corrección;</w:t>
      </w:r>
    </w:p>
    <w:p>
      <w:pPr>
        <w:pStyle w:val="ListBullet"/>
        <w:spacing w:after="60"/>
      </w:pPr>
      <w:r>
        <w:rPr>
          <w:rFonts w:ascii="Arial" w:hAnsi="Arial"/>
          <w:color w:val="141C28"/>
          <w:sz w:val="20"/>
        </w:rPr>
        <w:t>identificadores canónicos y relaciones entre entidades;</w:t>
      </w:r>
    </w:p>
    <w:p>
      <w:pPr>
        <w:pStyle w:val="ListBullet"/>
        <w:spacing w:after="60"/>
      </w:pPr>
      <w:r>
        <w:rPr>
          <w:rFonts w:ascii="Arial" w:hAnsi="Arial"/>
          <w:color w:val="141C28"/>
          <w:sz w:val="20"/>
        </w:rPr>
        <w:t>derechos y condiciones aplicables a cada fuente;</w:t>
      </w:r>
    </w:p>
    <w:p>
      <w:pPr>
        <w:pStyle w:val="ListBullet"/>
        <w:spacing w:after="60"/>
      </w:pPr>
      <w:r>
        <w:rPr>
          <w:rFonts w:ascii="Arial" w:hAnsi="Arial"/>
          <w:color w:val="141C28"/>
          <w:sz w:val="20"/>
        </w:rPr>
        <w:t>releases, deltas y continuidad de mantenimiento.</w:t>
      </w:r>
    </w:p>
    <w:p>
      <w:pPr>
        <w:pStyle w:val="Heading2"/>
        <w:spacing w:before="320" w:after="140"/>
      </w:pPr>
      <w:r>
        <w:rPr>
          <w:rFonts w:ascii="Arial" w:hAnsi="Arial"/>
          <w:b/>
          <w:color w:val="3B82F6"/>
          <w:sz w:val="48"/>
        </w:rPr>
        <w:t>4. Qué es una ENTIA Home</w:t>
      </w:r>
    </w:p>
    <w:p>
      <w:pPr>
        <w:spacing w:after="120"/>
      </w:pPr>
      <w:r>
        <w:rPr>
          <w:rFonts w:ascii="Arial" w:hAnsi="Arial"/>
          <w:b w:val="0"/>
          <w:color w:val="141C28"/>
          <w:sz w:val="21"/>
        </w:rPr>
        <w:t>Una ENTIA Home es la proyección pública de una identidad económica resuelta dentro del sistema ENTIA. No es el activo completo: es la superficie canónica mediante la que una entidad puede ser consultada por personas, buscadores, LLMs y agentes.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437"/>
        <w:gridCol w:w="3437"/>
        <w:gridCol w:w="3437"/>
      </w:tblGrid>
      <w:tr>
        <w:trPr>
          <w:tblHeader w:val="true"/>
        </w:trPr>
        <w:tc>
          <w:tcPr>
            <w:tcW w:type="dxa" w:w="3437"/>
            <w:shd w:fill="07101D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/>
                <w:color w:val="FFFFFF"/>
                <w:sz w:val="18"/>
              </w:rPr>
              <w:t>Capa</w:t>
            </w:r>
          </w:p>
        </w:tc>
        <w:tc>
          <w:tcPr>
            <w:tcW w:type="dxa" w:w="3437"/>
            <w:shd w:fill="07101D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/>
                <w:color w:val="FFFFFF"/>
                <w:sz w:val="18"/>
              </w:rPr>
              <w:t>Qué aporta ENTIA</w:t>
            </w:r>
          </w:p>
        </w:tc>
        <w:tc>
          <w:tcPr>
            <w:tcW w:type="dxa" w:w="3437"/>
            <w:shd w:fill="07101D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/>
                <w:color w:val="FFFFFF"/>
                <w:sz w:val="18"/>
              </w:rPr>
              <w:t>Por qué importa</w:t>
            </w:r>
          </w:p>
        </w:tc>
      </w:tr>
      <w:tr>
        <w:tc>
          <w:tcPr>
            <w:tcW w:type="dxa" w:w="3437"/>
            <w:vAlign w:val="center"/>
            <w:shd w:fill="F3F7FC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/>
                <w:color w:val="243042"/>
                <w:sz w:val="18"/>
              </w:rPr>
              <w:t>Resolución de identidad</w:t>
            </w:r>
          </w:p>
        </w:tc>
        <w:tc>
          <w:tcPr>
            <w:tcW w:type="dxa" w:w="3437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 w:val="0"/>
                <w:color w:val="243042"/>
                <w:sz w:val="18"/>
              </w:rPr>
              <w:t>Entidad canónica, jurisdicción, tipo e identificadores.</w:t>
            </w:r>
          </w:p>
        </w:tc>
        <w:tc>
          <w:tcPr>
            <w:tcW w:type="dxa" w:w="3437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 w:val="0"/>
                <w:color w:val="243042"/>
                <w:sz w:val="18"/>
              </w:rPr>
              <w:t>Reduce confusión entre marcas, locales y personas jurídicas.</w:t>
            </w:r>
          </w:p>
        </w:tc>
      </w:tr>
      <w:tr>
        <w:tc>
          <w:tcPr>
            <w:tcW w:type="dxa" w:w="3437"/>
            <w:vAlign w:val="center"/>
            <w:shd w:fill="F1F5F9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/>
                <w:color w:val="243042"/>
                <w:sz w:val="18"/>
              </w:rPr>
              <w:t>Anclaje de fuentes</w:t>
            </w:r>
          </w:p>
        </w:tc>
        <w:tc>
          <w:tcPr>
            <w:tcW w:type="dxa" w:w="3437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1F5F9"/>
          </w:tcPr>
          <w:p>
            <w:r>
              <w:rPr>
                <w:rFonts w:ascii="Aptos" w:hAnsi="Aptos" w:eastAsia="Aptos"/>
                <w:b w:val="0"/>
                <w:color w:val="243042"/>
                <w:sz w:val="18"/>
              </w:rPr>
              <w:t>Referencias oficiales o autorizadas y separación por procedencia.</w:t>
            </w:r>
          </w:p>
        </w:tc>
        <w:tc>
          <w:tcPr>
            <w:tcW w:type="dxa" w:w="3437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1F5F9"/>
          </w:tcPr>
          <w:p>
            <w:r>
              <w:rPr>
                <w:rFonts w:ascii="Aptos" w:hAnsi="Aptos" w:eastAsia="Aptos"/>
                <w:b w:val="0"/>
                <w:color w:val="243042"/>
                <w:sz w:val="18"/>
              </w:rPr>
              <w:t>Permite comprobar origen, términos y vigencia.</w:t>
            </w:r>
          </w:p>
        </w:tc>
      </w:tr>
      <w:tr>
        <w:tc>
          <w:tcPr>
            <w:tcW w:type="dxa" w:w="3437"/>
            <w:vAlign w:val="center"/>
            <w:shd w:fill="F3F7FC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/>
                <w:color w:val="243042"/>
                <w:sz w:val="18"/>
              </w:rPr>
              <w:t>Normalización</w:t>
            </w:r>
          </w:p>
        </w:tc>
        <w:tc>
          <w:tcPr>
            <w:tcW w:type="dxa" w:w="3437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 w:val="0"/>
                <w:color w:val="243042"/>
                <w:sz w:val="18"/>
              </w:rPr>
              <w:t>Campos, taxonomías e identificadores consistentes.</w:t>
            </w:r>
          </w:p>
        </w:tc>
        <w:tc>
          <w:tcPr>
            <w:tcW w:type="dxa" w:w="3437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 w:val="0"/>
                <w:color w:val="243042"/>
                <w:sz w:val="18"/>
              </w:rPr>
              <w:t>Facilita comparación, matching y deduplicación.</w:t>
            </w:r>
          </w:p>
        </w:tc>
      </w:tr>
      <w:tr>
        <w:tc>
          <w:tcPr>
            <w:tcW w:type="dxa" w:w="3437"/>
            <w:vAlign w:val="center"/>
            <w:shd w:fill="F1F5F9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/>
                <w:color w:val="243042"/>
                <w:sz w:val="18"/>
              </w:rPr>
              <w:t>Verificación y mantenimiento</w:t>
            </w:r>
          </w:p>
        </w:tc>
        <w:tc>
          <w:tcPr>
            <w:tcW w:type="dxa" w:w="3437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1F5F9"/>
          </w:tcPr>
          <w:p>
            <w:r>
              <w:rPr>
                <w:rFonts w:ascii="Aptos" w:hAnsi="Aptos" w:eastAsia="Aptos"/>
                <w:b w:val="0"/>
                <w:color w:val="243042"/>
                <w:sz w:val="18"/>
              </w:rPr>
              <w:t>Cruces, contradicciones, correcciones y actualización.</w:t>
            </w:r>
          </w:p>
        </w:tc>
        <w:tc>
          <w:tcPr>
            <w:tcW w:type="dxa" w:w="3437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1F5F9"/>
          </w:tcPr>
          <w:p>
            <w:r>
              <w:rPr>
                <w:rFonts w:ascii="Aptos" w:hAnsi="Aptos" w:eastAsia="Aptos"/>
                <w:b w:val="0"/>
                <w:color w:val="243042"/>
                <w:sz w:val="18"/>
              </w:rPr>
              <w:t>Evita tratar la identidad como una ficha estática.</w:t>
            </w:r>
          </w:p>
        </w:tc>
      </w:tr>
      <w:tr>
        <w:tc>
          <w:tcPr>
            <w:tcW w:type="dxa" w:w="3437"/>
            <w:vAlign w:val="center"/>
            <w:shd w:fill="F3F7FC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/>
                <w:color w:val="243042"/>
                <w:sz w:val="18"/>
              </w:rPr>
              <w:t>Entrega máquina</w:t>
            </w:r>
          </w:p>
        </w:tc>
        <w:tc>
          <w:tcPr>
            <w:tcW w:type="dxa" w:w="3437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 w:val="0"/>
                <w:color w:val="243042"/>
                <w:sz w:val="18"/>
              </w:rPr>
              <w:t>HTML, JSON-LD, Markdown, API, MCP y grounding autorizado.</w:t>
            </w:r>
          </w:p>
        </w:tc>
        <w:tc>
          <w:tcPr>
            <w:tcW w:type="dxa" w:w="3437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 w:val="0"/>
                <w:color w:val="243042"/>
                <w:sz w:val="18"/>
              </w:rPr>
              <w:t>Reduce costes de parsing y facilita recuperación estructurada.</w:t>
            </w:r>
          </w:p>
        </w:tc>
      </w:tr>
      <w:tr>
        <w:tc>
          <w:tcPr>
            <w:tcW w:type="dxa" w:w="3437"/>
            <w:vAlign w:val="center"/>
            <w:shd w:fill="F1F5F9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/>
                <w:color w:val="243042"/>
                <w:sz w:val="18"/>
              </w:rPr>
              <w:t>Gobernanza</w:t>
            </w:r>
          </w:p>
        </w:tc>
        <w:tc>
          <w:tcPr>
            <w:tcW w:type="dxa" w:w="3437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1F5F9"/>
          </w:tcPr>
          <w:p>
            <w:r>
              <w:rPr>
                <w:rFonts w:ascii="Aptos" w:hAnsi="Aptos" w:eastAsia="Aptos"/>
                <w:b w:val="0"/>
                <w:color w:val="243042"/>
                <w:sz w:val="18"/>
              </w:rPr>
              <w:t>Señales de derechos, políticas, licencias y telemetría.</w:t>
            </w:r>
          </w:p>
        </w:tc>
        <w:tc>
          <w:tcPr>
            <w:tcW w:type="dxa" w:w="3437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1F5F9"/>
          </w:tcPr>
          <w:p>
            <w:r>
              <w:rPr>
                <w:rFonts w:ascii="Aptos" w:hAnsi="Aptos" w:eastAsia="Aptos"/>
                <w:b w:val="0"/>
                <w:color w:val="243042"/>
                <w:sz w:val="18"/>
              </w:rPr>
              <w:t>Convierte el acceso continuado en una relación observable y contractualmente gobernable.</w:t>
            </w:r>
          </w:p>
        </w:tc>
      </w:tr>
    </w:tbl>
    <w:p/>
    <w:p>
      <w:pPr>
        <w:pStyle w:val="Heading2"/>
        <w:spacing w:before="320" w:after="140"/>
      </w:pPr>
      <w:r>
        <w:rPr>
          <w:rFonts w:ascii="Arial" w:hAnsi="Arial"/>
          <w:b/>
          <w:color w:val="3B82F6"/>
          <w:sz w:val="48"/>
        </w:rPr>
        <w:t>5. Cómo funciona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56"/>
        <w:gridCol w:w="5156"/>
      </w:tblGrid>
      <w:tr>
        <w:trPr>
          <w:tblHeader w:val="true"/>
        </w:trPr>
        <w:tc>
          <w:tcPr>
            <w:tcW w:type="dxa" w:w="5156"/>
            <w:shd w:fill="07101D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/>
                <w:color w:val="FFFFFF"/>
                <w:sz w:val="18"/>
              </w:rPr>
              <w:t>Etapa</w:t>
            </w:r>
          </w:p>
        </w:tc>
        <w:tc>
          <w:tcPr>
            <w:tcW w:type="dxa" w:w="5156"/>
            <w:shd w:fill="07101D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/>
                <w:color w:val="FFFFFF"/>
                <w:sz w:val="18"/>
              </w:rPr>
              <w:t>Función</w:t>
            </w:r>
          </w:p>
        </w:tc>
      </w:tr>
      <w:tr>
        <w:tc>
          <w:tcPr>
            <w:tcW w:type="dxa" w:w="5156"/>
            <w:shd w:fill="F3F7FC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/>
                <w:color w:val="243042"/>
                <w:sz w:val="18"/>
              </w:rPr>
              <w:t>1. Observación</w:t>
            </w:r>
          </w:p>
        </w:tc>
        <w:tc>
          <w:tcPr>
            <w:tcW w:type="dxa" w:w="5156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 w:val="0"/>
                <w:color w:val="243042"/>
                <w:sz w:val="18"/>
              </w:rPr>
              <w:t>ENTIA recibe o consulta señales procedentes de fuentes públicas, oficiales, abiertas o autorizadas.</w:t>
            </w:r>
          </w:p>
        </w:tc>
      </w:tr>
      <w:tr>
        <w:tc>
          <w:tcPr>
            <w:tcW w:type="dxa" w:w="5156"/>
            <w:shd w:fill="F1F5F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/>
                <w:color w:val="243042"/>
                <w:sz w:val="18"/>
              </w:rPr>
              <w:t>2. Normalización</w:t>
            </w:r>
          </w:p>
        </w:tc>
        <w:tc>
          <w:tcPr>
            <w:tcW w:type="dxa" w:w="5156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1F5F9"/>
          </w:tcPr>
          <w:p>
            <w:r>
              <w:rPr>
                <w:rFonts w:ascii="Aptos" w:hAnsi="Aptos" w:eastAsia="Aptos"/>
                <w:b w:val="0"/>
                <w:color w:val="243042"/>
                <w:sz w:val="18"/>
              </w:rPr>
              <w:t>Los valores se transforman en campos, formatos e identificadores comparables.</w:t>
            </w:r>
          </w:p>
        </w:tc>
      </w:tr>
      <w:tr>
        <w:tc>
          <w:tcPr>
            <w:tcW w:type="dxa" w:w="5156"/>
            <w:shd w:fill="F3F7FC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/>
                <w:color w:val="243042"/>
                <w:sz w:val="18"/>
              </w:rPr>
              <w:t>3. Resolución</w:t>
            </w:r>
          </w:p>
        </w:tc>
        <w:tc>
          <w:tcPr>
            <w:tcW w:type="dxa" w:w="5156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 w:val="0"/>
                <w:color w:val="243042"/>
                <w:sz w:val="18"/>
              </w:rPr>
              <w:t>La infraestructura determina qué observaciones pertenecen a la misma entidad económica.</w:t>
            </w:r>
          </w:p>
        </w:tc>
      </w:tr>
      <w:tr>
        <w:tc>
          <w:tcPr>
            <w:tcW w:type="dxa" w:w="5156"/>
            <w:shd w:fill="F1F5F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/>
                <w:color w:val="243042"/>
                <w:sz w:val="18"/>
              </w:rPr>
              <w:t>4. Verificación</w:t>
            </w:r>
          </w:p>
        </w:tc>
        <w:tc>
          <w:tcPr>
            <w:tcW w:type="dxa" w:w="5156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1F5F9"/>
          </w:tcPr>
          <w:p>
            <w:r>
              <w:rPr>
                <w:rFonts w:ascii="Aptos" w:hAnsi="Aptos" w:eastAsia="Aptos"/>
                <w:b w:val="0"/>
                <w:color w:val="243042"/>
                <w:sz w:val="18"/>
              </w:rPr>
              <w:t>Se cruzan fuentes, fechas, contradicciones y niveles de confianza.</w:t>
            </w:r>
          </w:p>
        </w:tc>
      </w:tr>
      <w:tr>
        <w:tc>
          <w:tcPr>
            <w:tcW w:type="dxa" w:w="5156"/>
            <w:shd w:fill="F3F7FC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/>
                <w:color w:val="243042"/>
                <w:sz w:val="18"/>
              </w:rPr>
              <w:t>5. Enriquecimiento</w:t>
            </w:r>
          </w:p>
        </w:tc>
        <w:tc>
          <w:tcPr>
            <w:tcW w:type="dxa" w:w="5156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 w:val="0"/>
                <w:color w:val="243042"/>
                <w:sz w:val="18"/>
              </w:rPr>
              <w:t>Se añaden relaciones, contexto territorial, sectores y señales derivadas.</w:t>
            </w:r>
          </w:p>
        </w:tc>
      </w:tr>
      <w:tr>
        <w:tc>
          <w:tcPr>
            <w:tcW w:type="dxa" w:w="5156"/>
            <w:shd w:fill="F1F5F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/>
                <w:color w:val="243042"/>
                <w:sz w:val="18"/>
              </w:rPr>
              <w:t>6. Publicación</w:t>
            </w:r>
          </w:p>
        </w:tc>
        <w:tc>
          <w:tcPr>
            <w:tcW w:type="dxa" w:w="5156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1F5F9"/>
          </w:tcPr>
          <w:p>
            <w:r>
              <w:rPr>
                <w:rFonts w:ascii="Aptos" w:hAnsi="Aptos" w:eastAsia="Aptos"/>
                <w:b w:val="0"/>
                <w:color w:val="243042"/>
                <w:sz w:val="18"/>
              </w:rPr>
              <w:t>Se genera una superficie canónica para humanos y máquinas.</w:t>
            </w:r>
          </w:p>
        </w:tc>
      </w:tr>
      <w:tr>
        <w:tc>
          <w:tcPr>
            <w:tcW w:type="dxa" w:w="5156"/>
            <w:shd w:fill="F3F7FC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/>
                <w:color w:val="243042"/>
                <w:sz w:val="18"/>
              </w:rPr>
              <w:t>7. Mantenimiento</w:t>
            </w:r>
          </w:p>
        </w:tc>
        <w:tc>
          <w:tcPr>
            <w:tcW w:type="dxa" w:w="5156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 w:val="0"/>
                <w:color w:val="243042"/>
                <w:sz w:val="18"/>
              </w:rPr>
              <w:t>Cambios, correcciones, nuevas fuentes y deltas actualizan el objeto vivo.</w:t>
            </w:r>
          </w:p>
        </w:tc>
      </w:tr>
      <w:tr>
        <w:tc>
          <w:tcPr>
            <w:tcW w:type="dxa" w:w="5156"/>
            <w:shd w:fill="F1F5F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/>
                <w:color w:val="243042"/>
                <w:sz w:val="18"/>
              </w:rPr>
              <w:t>8. Telemetría</w:t>
            </w:r>
          </w:p>
        </w:tc>
        <w:tc>
          <w:tcPr>
            <w:tcW w:type="dxa" w:w="5156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1F5F9"/>
          </w:tcPr>
          <w:p>
            <w:r>
              <w:rPr>
                <w:rFonts w:ascii="Aptos" w:hAnsi="Aptos" w:eastAsia="Aptos"/>
                <w:b w:val="0"/>
                <w:color w:val="243042"/>
                <w:sz w:val="18"/>
              </w:rPr>
              <w:t>Cada acceso a las superficies machine-first puede registrarse y conservarse.</w:t>
            </w:r>
          </w:p>
        </w:tc>
      </w:tr>
    </w:tbl>
    <w:p/>
    <w:p>
      <w:pPr>
        <w:pStyle w:val="Heading2"/>
        <w:spacing w:before="320" w:after="140"/>
      </w:pPr>
      <w:r>
        <w:rPr>
          <w:rFonts w:ascii="Arial" w:hAnsi="Arial"/>
          <w:b/>
          <w:color w:val="3B82F6"/>
          <w:sz w:val="48"/>
        </w:rPr>
        <w:t>6. Qué reciben las máquinas</w:t>
      </w:r>
    </w:p>
    <w:p>
      <w:pPr>
        <w:spacing w:after="120"/>
      </w:pPr>
      <w:r>
        <w:rPr>
          <w:rFonts w:ascii="Arial" w:hAnsi="Arial"/>
          <w:b w:val="0"/>
          <w:color w:val="141C28"/>
          <w:sz w:val="21"/>
        </w:rPr>
        <w:t>Una solicitud a una superficie ENTIA no recupera una simple colección de hechos públicos. Recupera el resultado de un proceso de resolución, verificación, enriquecimiento, publicación y gobernanza.</w:t>
      </w:r>
    </w:p>
    <w:p>
      <w:pPr>
        <w:pStyle w:val="ListBullet"/>
        <w:spacing w:after="60"/>
      </w:pPr>
      <w:r>
        <w:rPr>
          <w:rFonts w:ascii="Arial" w:hAnsi="Arial"/>
          <w:color w:val="141C28"/>
          <w:sz w:val="20"/>
        </w:rPr>
        <w:t>una identidad económica canónica;</w:t>
      </w:r>
    </w:p>
    <w:p>
      <w:pPr>
        <w:pStyle w:val="ListBullet"/>
        <w:spacing w:after="60"/>
      </w:pPr>
      <w:r>
        <w:rPr>
          <w:rFonts w:ascii="Arial" w:hAnsi="Arial"/>
          <w:color w:val="141C28"/>
          <w:sz w:val="20"/>
        </w:rPr>
        <w:t>campos normalizados y contexto jurisdiccional;</w:t>
      </w:r>
    </w:p>
    <w:p>
      <w:pPr>
        <w:pStyle w:val="ListBullet"/>
        <w:spacing w:after="60"/>
      </w:pPr>
      <w:r>
        <w:rPr>
          <w:rFonts w:ascii="Arial" w:hAnsi="Arial"/>
          <w:color w:val="141C28"/>
          <w:sz w:val="20"/>
        </w:rPr>
        <w:t>identificadores y relaciones;</w:t>
      </w:r>
    </w:p>
    <w:p>
      <w:pPr>
        <w:pStyle w:val="ListBullet"/>
        <w:spacing w:after="60"/>
      </w:pPr>
      <w:r>
        <w:rPr>
          <w:rFonts w:ascii="Arial" w:hAnsi="Arial"/>
          <w:color w:val="141C28"/>
          <w:sz w:val="20"/>
        </w:rPr>
        <w:t>referencias de procedencia;</w:t>
      </w:r>
    </w:p>
    <w:p>
      <w:pPr>
        <w:pStyle w:val="ListBullet"/>
        <w:spacing w:after="60"/>
      </w:pPr>
      <w:r>
        <w:rPr>
          <w:rFonts w:ascii="Arial" w:hAnsi="Arial"/>
          <w:color w:val="141C28"/>
          <w:sz w:val="20"/>
        </w:rPr>
        <w:t>representaciones en HTML, JSON-LD y Markdown;</w:t>
      </w:r>
    </w:p>
    <w:p>
      <w:pPr>
        <w:pStyle w:val="ListBullet"/>
        <w:spacing w:after="60"/>
      </w:pPr>
      <w:r>
        <w:rPr>
          <w:rFonts w:ascii="Arial" w:hAnsi="Arial"/>
          <w:color w:val="141C28"/>
          <w:sz w:val="20"/>
        </w:rPr>
        <w:t>señales de derechos y políticas de consumo;</w:t>
      </w:r>
    </w:p>
    <w:p>
      <w:pPr>
        <w:pStyle w:val="ListBullet"/>
        <w:spacing w:after="60"/>
      </w:pPr>
      <w:r>
        <w:rPr>
          <w:rFonts w:ascii="Arial" w:hAnsi="Arial"/>
          <w:color w:val="141C28"/>
          <w:sz w:val="20"/>
        </w:rPr>
        <w:t>rutas estables y mecanismos de corrección;</w:t>
      </w:r>
    </w:p>
    <w:p>
      <w:pPr>
        <w:pStyle w:val="ListBullet"/>
        <w:spacing w:after="60"/>
      </w:pPr>
      <w:r>
        <w:rPr>
          <w:rFonts w:ascii="Arial" w:hAnsi="Arial"/>
          <w:color w:val="141C28"/>
          <w:sz w:val="20"/>
        </w:rPr>
        <w:t>una superficie mantenida que puede cambiar mediante releases y deltas.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312"/>
      </w:tblGrid>
      <w:tr>
        <w:tc>
          <w:tcPr>
            <w:tcW w:type="dxa" w:w="10312"/>
            <w:shd w:fill="F1F5F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/>
                <w:color w:val="243042"/>
                <w:sz w:val="18"/>
              </w:rPr>
              <w:t>VALOR ECONÓMICO</w:t>
            </w:r>
          </w:p>
          <w:p>
            <w:r>
              <w:rPr>
                <w:rFonts w:ascii="Aptos" w:hAnsi="Aptos" w:eastAsia="Aptos"/>
                <w:b/>
                <w:color w:val="243042"/>
                <w:sz w:val="18"/>
              </w:rPr>
              <w:t>El dato de origen puede ser público. El objeto resuelto, verificado, cruzado y enriquecido que entrega ENTIA es el resultado de una infraestructura y de algoritmos propietarios.</w:t>
            </w:r>
          </w:p>
        </w:tc>
      </w:tr>
    </w:tbl>
    <w:p/>
    <w:p>
      <w:pPr>
        <w:pStyle w:val="Heading2"/>
        <w:spacing w:before="320" w:after="140"/>
      </w:pPr>
      <w:r>
        <w:rPr>
          <w:rFonts w:ascii="Arial" w:hAnsi="Arial"/>
          <w:b/>
          <w:color w:val="3B82F6"/>
          <w:sz w:val="48"/>
        </w:rPr>
        <w:t>7. Infraestructura y escala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56"/>
        <w:gridCol w:w="5156"/>
      </w:tblGrid>
      <w:tr>
        <w:tc>
          <w:tcPr>
            <w:tcW w:type="dxa" w:w="5156"/>
            <w:shd w:fill="07101D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/>
                <w:color w:val="FFFFFF"/>
                <w:sz w:val="18"/>
              </w:rPr>
              <w:t>Elemento</w:t>
            </w:r>
          </w:p>
        </w:tc>
        <w:tc>
          <w:tcPr>
            <w:tcW w:type="dxa" w:w="5156"/>
            <w:shd w:fill="07101D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/>
                <w:color w:val="FFFFFF"/>
                <w:sz w:val="18"/>
              </w:rPr>
              <w:t>Descripción</w:t>
            </w:r>
          </w:p>
        </w:tc>
      </w:tr>
      <w:tr>
        <w:tc>
          <w:tcPr>
            <w:tcW w:type="dxa" w:w="5156"/>
            <w:shd w:fill="F3F7FC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/>
                <w:color w:val="243042"/>
                <w:sz w:val="18"/>
              </w:rPr>
              <w:t>Cobertura pública</w:t>
            </w:r>
          </w:p>
        </w:tc>
        <w:tc>
          <w:tcPr>
            <w:tcW w:type="dxa" w:w="5156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 w:val="0"/>
                <w:color w:val="243042"/>
                <w:sz w:val="18"/>
              </w:rPr>
              <w:t>Más de 11,3 millones de identidades económicas.</w:t>
            </w:r>
          </w:p>
        </w:tc>
      </w:tr>
      <w:tr>
        <w:tc>
          <w:tcPr>
            <w:tcW w:type="dxa" w:w="5156"/>
            <w:shd w:fill="F1F5F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/>
                <w:color w:val="243042"/>
                <w:sz w:val="18"/>
              </w:rPr>
              <w:t>Países</w:t>
            </w:r>
          </w:p>
        </w:tc>
        <w:tc>
          <w:tcPr>
            <w:tcW w:type="dxa" w:w="5156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1F5F9"/>
          </w:tcPr>
          <w:p>
            <w:r>
              <w:rPr>
                <w:rFonts w:ascii="Aptos" w:hAnsi="Aptos" w:eastAsia="Aptos"/>
                <w:b w:val="0"/>
                <w:color w:val="243042"/>
                <w:sz w:val="18"/>
              </w:rPr>
              <w:t>Diez países en la cobertura pública actual.</w:t>
            </w:r>
          </w:p>
        </w:tc>
      </w:tr>
      <w:tr>
        <w:tc>
          <w:tcPr>
            <w:tcW w:type="dxa" w:w="5156"/>
            <w:shd w:fill="F3F7FC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/>
                <w:color w:val="243042"/>
                <w:sz w:val="18"/>
              </w:rPr>
              <w:t>Superficies</w:t>
            </w:r>
          </w:p>
        </w:tc>
        <w:tc>
          <w:tcPr>
            <w:tcW w:type="dxa" w:w="5156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 w:val="0"/>
                <w:color w:val="243042"/>
                <w:sz w:val="18"/>
              </w:rPr>
              <w:t>ENTIA Home, API, MCP, grounding y deltas.</w:t>
            </w:r>
          </w:p>
        </w:tc>
      </w:tr>
      <w:tr>
        <w:tc>
          <w:tcPr>
            <w:tcW w:type="dxa" w:w="5156"/>
            <w:shd w:fill="F1F5F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/>
                <w:color w:val="243042"/>
                <w:sz w:val="18"/>
              </w:rPr>
              <w:t>Telemetría</w:t>
            </w:r>
          </w:p>
        </w:tc>
        <w:tc>
          <w:tcPr>
            <w:tcW w:type="dxa" w:w="5156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1F5F9"/>
          </w:tcPr>
          <w:p>
            <w:r>
              <w:rPr>
                <w:rFonts w:ascii="Aptos" w:hAnsi="Aptos" w:eastAsia="Aptos"/>
                <w:b w:val="0"/>
                <w:color w:val="243042"/>
                <w:sz w:val="18"/>
              </w:rPr>
              <w:t>Captura por solicitud, conservación, análisis y manifiestos de integridad.</w:t>
            </w:r>
          </w:p>
        </w:tc>
      </w:tr>
      <w:tr>
        <w:tc>
          <w:tcPr>
            <w:tcW w:type="dxa" w:w="5156"/>
            <w:shd w:fill="F3F7FC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/>
                <w:color w:val="243042"/>
                <w:sz w:val="18"/>
              </w:rPr>
              <w:t>Operación</w:t>
            </w:r>
          </w:p>
        </w:tc>
        <w:tc>
          <w:tcPr>
            <w:tcW w:type="dxa" w:w="5156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 w:val="0"/>
                <w:color w:val="243042"/>
                <w:sz w:val="18"/>
              </w:rPr>
              <w:t>Infraestructura global con oficinas centrales y dirección operativa en Madrid.</w:t>
            </w:r>
          </w:p>
        </w:tc>
      </w:tr>
      <w:tr>
        <w:tc>
          <w:tcPr>
            <w:tcW w:type="dxa" w:w="5156"/>
            <w:shd w:fill="F1F5F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/>
                <w:color w:val="243042"/>
                <w:sz w:val="18"/>
              </w:rPr>
              <w:t>Entidad jurídica</w:t>
            </w:r>
          </w:p>
        </w:tc>
        <w:tc>
          <w:tcPr>
            <w:tcW w:type="dxa" w:w="5156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1F5F9"/>
          </w:tcPr>
          <w:p>
            <w:r>
              <w:rPr>
                <w:rFonts w:ascii="Aptos" w:hAnsi="Aptos" w:eastAsia="Aptos"/>
                <w:b w:val="0"/>
                <w:color w:val="243042"/>
                <w:sz w:val="18"/>
              </w:rPr>
              <w:t>PrecisionAI Marketing OÜ, incorporada en Estonia.</w:t>
            </w:r>
          </w:p>
        </w:tc>
      </w:tr>
    </w:tbl>
    <w:p/>
    <w:p>
      <w:pPr>
        <w:pStyle w:val="Heading2"/>
        <w:spacing w:before="320" w:after="140"/>
      </w:pPr>
      <w:r>
        <w:rPr>
          <w:rFonts w:ascii="Arial" w:hAnsi="Arial"/>
          <w:b/>
          <w:color w:val="3B82F6"/>
          <w:sz w:val="48"/>
        </w:rPr>
        <w:t>8. Modelo de adhesión</w:t>
      </w:r>
    </w:p>
    <w:p>
      <w:pPr>
        <w:spacing w:after="120"/>
      </w:pPr>
      <w:r>
        <w:rPr>
          <w:rFonts w:ascii="Arial" w:hAnsi="Arial"/>
          <w:b w:val="0"/>
          <w:color w:val="141C28"/>
          <w:sz w:val="21"/>
        </w:rPr>
        <w:t>ENTIA no comercializa una descarga puntual ni exige una nueva integración para formalizar una relación. Su modelo distingue entre operadores adheridos y no adheridos.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312"/>
      </w:tblGrid>
      <w:tr>
        <w:tc>
          <w:tcPr>
            <w:tcW w:type="dxa" w:w="10312"/>
            <w:shd w:fill="F1F5F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/>
                <w:color w:val="243042"/>
                <w:sz w:val="18"/>
              </w:rPr>
              <w:t>TESIS COMERCIAL</w:t>
            </w:r>
          </w:p>
          <w:p>
            <w:r>
              <w:rPr>
                <w:rFonts w:ascii="Aptos" w:hAnsi="Aptos" w:eastAsia="Aptos"/>
                <w:b/>
                <w:color w:val="243042"/>
                <w:sz w:val="18"/>
              </w:rPr>
              <w:t>ENTIA no vende acceso. Vende la continuidad autorizada de un acceso que ya está ocurriendo.</w:t>
            </w:r>
          </w:p>
        </w:tc>
      </w:tr>
    </w:tbl>
    <w:p/>
    <w:p>
      <w:pPr>
        <w:pStyle w:val="ListBullet"/>
        <w:spacing w:after="60"/>
      </w:pPr>
      <w:r>
        <w:rPr>
          <w:rFonts w:ascii="Arial" w:hAnsi="Arial"/>
          <w:color w:val="141C28"/>
          <w:sz w:val="20"/>
        </w:rPr>
        <w:t>Autorización contractual para usos productivos cubiertos.</w:t>
      </w:r>
    </w:p>
    <w:p>
      <w:pPr>
        <w:pStyle w:val="ListBullet"/>
        <w:spacing w:after="60"/>
      </w:pPr>
      <w:r>
        <w:rPr>
          <w:rFonts w:ascii="Arial" w:hAnsi="Arial"/>
          <w:color w:val="141C28"/>
          <w:sz w:val="20"/>
        </w:rPr>
        <w:t>Continuidad de acceso al corpus actual y a sus cambios.</w:t>
      </w:r>
    </w:p>
    <w:p>
      <w:pPr>
        <w:pStyle w:val="ListBullet"/>
        <w:spacing w:after="60"/>
      </w:pPr>
      <w:r>
        <w:rPr>
          <w:rFonts w:ascii="Arial" w:hAnsi="Arial"/>
          <w:color w:val="141C28"/>
          <w:sz w:val="20"/>
        </w:rPr>
        <w:t>Nuevas entidades, correcciones, evidencia y deltas.</w:t>
      </w:r>
    </w:p>
    <w:p>
      <w:pPr>
        <w:pStyle w:val="ListBullet"/>
        <w:spacing w:after="60"/>
      </w:pPr>
      <w:r>
        <w:rPr>
          <w:rFonts w:ascii="Arial" w:hAnsi="Arial"/>
          <w:color w:val="141C28"/>
          <w:sz w:val="20"/>
        </w:rPr>
        <w:t>Acceso a superficies como API, MCP o grounding cuando corresponda.</w:t>
      </w:r>
    </w:p>
    <w:p>
      <w:pPr>
        <w:pStyle w:val="ListBullet"/>
        <w:spacing w:after="60"/>
      </w:pPr>
      <w:r>
        <w:rPr>
          <w:rFonts w:ascii="Arial" w:hAnsi="Arial"/>
          <w:color w:val="141C28"/>
          <w:sz w:val="20"/>
        </w:rPr>
        <w:t>Documentación útil para legal, compliance, procurement y gobernanza.</w:t>
      </w:r>
    </w:p>
    <w:p>
      <w:pPr>
        <w:pStyle w:val="ListBullet"/>
        <w:spacing w:after="60"/>
      </w:pPr>
      <w:r>
        <w:rPr>
          <w:rFonts w:ascii="Arial" w:hAnsi="Arial"/>
          <w:color w:val="141C28"/>
          <w:sz w:val="20"/>
        </w:rPr>
        <w:t>Exclusión de redistribución, sublicencia, uso ilícito, reconstrucción competitiva y transferencia no autorizada.</w:t>
      </w:r>
    </w:p>
    <w:p>
      <w:pPr>
        <w:pStyle w:val="Heading2"/>
        <w:spacing w:before="320" w:after="140"/>
      </w:pPr>
      <w:r>
        <w:rPr>
          <w:rFonts w:ascii="Arial" w:hAnsi="Arial"/>
          <w:b/>
          <w:color w:val="3B82F6"/>
          <w:sz w:val="48"/>
        </w:rPr>
        <w:t>9. Qué diferencia a ENTIA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56"/>
        <w:gridCol w:w="5156"/>
      </w:tblGrid>
      <w:tr>
        <w:tc>
          <w:tcPr>
            <w:tcW w:type="dxa" w:w="5156"/>
            <w:shd w:fill="07101D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/>
                <w:color w:val="FFFFFF"/>
                <w:sz w:val="18"/>
              </w:rPr>
              <w:t>ENTIA no es</w:t>
            </w:r>
          </w:p>
        </w:tc>
        <w:tc>
          <w:tcPr>
            <w:tcW w:type="dxa" w:w="5156"/>
            <w:shd w:fill="07101D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/>
                <w:color w:val="FFFFFF"/>
                <w:sz w:val="18"/>
              </w:rPr>
              <w:t>Porque</w:t>
            </w:r>
          </w:p>
        </w:tc>
      </w:tr>
      <w:tr>
        <w:tc>
          <w:tcPr>
            <w:tcW w:type="dxa" w:w="5156"/>
            <w:shd w:fill="FFF7ED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/>
                <w:color w:val="243042"/>
                <w:sz w:val="18"/>
              </w:rPr>
              <w:t>No es una agencia GEO</w:t>
            </w:r>
          </w:p>
        </w:tc>
        <w:tc>
          <w:tcPr>
            <w:tcW w:type="dxa" w:w="5156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 w:val="0"/>
                <w:color w:val="243042"/>
                <w:sz w:val="18"/>
              </w:rPr>
              <w:t>No optimiza contenidos para aparecer en respuestas; construye la infraestructura de identidad que esas respuestas pueden consultar.</w:t>
            </w:r>
          </w:p>
        </w:tc>
      </w:tr>
      <w:tr>
        <w:tc>
          <w:tcPr>
            <w:tcW w:type="dxa" w:w="5156"/>
            <w:shd w:fill="F1F5F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/>
                <w:color w:val="243042"/>
                <w:sz w:val="18"/>
              </w:rPr>
              <w:t>No es un directorio</w:t>
            </w:r>
          </w:p>
        </w:tc>
        <w:tc>
          <w:tcPr>
            <w:tcW w:type="dxa" w:w="5156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1F5F9"/>
          </w:tcPr>
          <w:p>
            <w:r>
              <w:rPr>
                <w:rFonts w:ascii="Aptos" w:hAnsi="Aptos" w:eastAsia="Aptos"/>
                <w:b w:val="0"/>
                <w:color w:val="243042"/>
                <w:sz w:val="18"/>
              </w:rPr>
              <w:t>No publica fichas aisladas: resuelve entidades, mantiene evidencia, temporalidad, relaciones y correcciones.</w:t>
            </w:r>
          </w:p>
        </w:tc>
      </w:tr>
      <w:tr>
        <w:tc>
          <w:tcPr>
            <w:tcW w:type="dxa" w:w="5156"/>
            <w:shd w:fill="FFF7ED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/>
                <w:color w:val="243042"/>
                <w:sz w:val="18"/>
              </w:rPr>
              <w:t>No es un scraper</w:t>
            </w:r>
          </w:p>
        </w:tc>
        <w:tc>
          <w:tcPr>
            <w:tcW w:type="dxa" w:w="5156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 w:val="0"/>
                <w:color w:val="243042"/>
                <w:sz w:val="18"/>
              </w:rPr>
              <w:t>La captura de señales es solo una parte de un sistema de resolución, verificación y gobernanza.</w:t>
            </w:r>
          </w:p>
        </w:tc>
      </w:tr>
      <w:tr>
        <w:tc>
          <w:tcPr>
            <w:tcW w:type="dxa" w:w="5156"/>
            <w:shd w:fill="F1F5F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/>
                <w:color w:val="243042"/>
                <w:sz w:val="18"/>
              </w:rPr>
              <w:t>No es un dataset estático</w:t>
            </w:r>
          </w:p>
        </w:tc>
        <w:tc>
          <w:tcPr>
            <w:tcW w:type="dxa" w:w="5156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1F5F9"/>
          </w:tcPr>
          <w:p>
            <w:r>
              <w:rPr>
                <w:rFonts w:ascii="Aptos" w:hAnsi="Aptos" w:eastAsia="Aptos"/>
                <w:b w:val="0"/>
                <w:color w:val="243042"/>
                <w:sz w:val="18"/>
              </w:rPr>
              <w:t>El activo incorpora releases, deltas, mantenimiento y continuidad.</w:t>
            </w:r>
          </w:p>
        </w:tc>
      </w:tr>
      <w:tr>
        <w:tc>
          <w:tcPr>
            <w:tcW w:type="dxa" w:w="5156"/>
            <w:shd w:fill="FFF7ED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/>
                <w:color w:val="243042"/>
                <w:sz w:val="18"/>
              </w:rPr>
              <w:t>No es solo una web</w:t>
            </w:r>
          </w:p>
        </w:tc>
        <w:tc>
          <w:tcPr>
            <w:tcW w:type="dxa" w:w="5156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 w:val="0"/>
                <w:color w:val="243042"/>
                <w:sz w:val="18"/>
              </w:rPr>
              <w:t>Las ENTIA Homes son proyecciones públicas de un grafo canónico más amplio.</w:t>
            </w:r>
          </w:p>
        </w:tc>
      </w:tr>
      <w:tr>
        <w:tc>
          <w:tcPr>
            <w:tcW w:type="dxa" w:w="5156"/>
            <w:shd w:fill="F1F5F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/>
                <w:color w:val="243042"/>
                <w:sz w:val="18"/>
              </w:rPr>
              <w:t>No afirma entrenamiento</w:t>
            </w:r>
          </w:p>
        </w:tc>
        <w:tc>
          <w:tcPr>
            <w:tcW w:type="dxa" w:w="5156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1F5F9"/>
          </w:tcPr>
          <w:p>
            <w:r>
              <w:rPr>
                <w:rFonts w:ascii="Aptos" w:hAnsi="Aptos" w:eastAsia="Aptos"/>
                <w:b w:val="0"/>
                <w:color w:val="243042"/>
                <w:sz w:val="18"/>
              </w:rPr>
              <w:t>La telemetría demuestra acceso y entrega, no usos internos no observados.</w:t>
            </w:r>
          </w:p>
        </w:tc>
      </w:tr>
    </w:tbl>
    <w:p/>
    <w:p>
      <w:pPr>
        <w:pStyle w:val="Heading2"/>
        <w:spacing w:before="320" w:after="140"/>
      </w:pPr>
      <w:r>
        <w:rPr>
          <w:rFonts w:ascii="Arial" w:hAnsi="Arial"/>
          <w:b/>
          <w:color w:val="3B82F6"/>
          <w:sz w:val="48"/>
        </w:rPr>
        <w:t>10. Visión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312"/>
      </w:tblGrid>
      <w:tr>
        <w:tc>
          <w:tcPr>
            <w:tcW w:type="dxa" w:w="10312"/>
            <w:shd w:fill="F1F5F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/>
                <w:color w:val="243042"/>
                <w:sz w:val="18"/>
              </w:rPr>
              <w:t>TESIS DE MERCADO</w:t>
            </w:r>
          </w:p>
          <w:p>
            <w:r>
              <w:rPr>
                <w:rFonts w:ascii="Aptos" w:hAnsi="Aptos" w:eastAsia="Aptos"/>
                <w:b/>
                <w:color w:val="243042"/>
                <w:sz w:val="18"/>
              </w:rPr>
              <w:t>Durante veinticinco años, Internet se organizó alrededor del clic. La siguiente etapa se organizará alrededor de agentes que acceden, interpretan y deciden.</w:t>
            </w:r>
          </w:p>
        </w:tc>
      </w:tr>
    </w:tbl>
    <w:p/>
    <w:p>
      <w:pPr>
        <w:spacing w:after="120"/>
      </w:pPr>
      <w:r>
        <w:rPr>
          <w:rFonts w:ascii="Arial" w:hAnsi="Arial"/>
          <w:b w:val="0"/>
          <w:color w:val="141C28"/>
          <w:sz w:val="21"/>
        </w:rPr>
        <w:t>ENTIA trabaja en la infraestructura necesaria para que esa transición sea verificable, gobernable y económicamente sostenible: identidades resueltas, procedencia, evidencia, continuidad, derechos, telemetría y superficies machine-first.</w:t>
      </w:r>
    </w:p>
    <w:p>
      <w:pPr>
        <w:pStyle w:val="Heading2"/>
        <w:spacing w:before="320" w:after="140"/>
      </w:pPr>
      <w:r>
        <w:rPr>
          <w:rFonts w:ascii="Arial" w:hAnsi="Arial"/>
          <w:b/>
          <w:color w:val="3B82F6"/>
          <w:sz w:val="48"/>
        </w:rPr>
        <w:t>11. Descripción corporativa para prensa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312"/>
      </w:tblGrid>
      <w:tr>
        <w:tc>
          <w:tcPr>
            <w:tcW w:type="dxa" w:w="10312"/>
            <w:shd w:fill="F1F5F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/>
                <w:color w:val="243042"/>
                <w:sz w:val="18"/>
              </w:rPr>
              <w:t>VERSIÓN LARGA</w:t>
            </w:r>
          </w:p>
          <w:p>
            <w:r>
              <w:rPr>
                <w:rFonts w:ascii="Aptos" w:hAnsi="Aptos" w:eastAsia="Aptos"/>
                <w:b/>
                <w:color w:val="243042"/>
                <w:sz w:val="18"/>
              </w:rPr>
              <w:t>ENTIA es una infraestructura global de resolución de identidad económica. Mantiene un grafo canónico de entidades, evidencia y relaciones, y publica proyecciones para humanos y máquinas mediante ENTIA Home, API, MCP, grounding y deltas. Su infraestructura permite observar y gobernar el acceso automatizado a identidades económicas mantenidas. ENTIA tiene oficinas centrales y dirección operativa en Madrid; su entidad jurídica es PrecisionAI Marketing OÜ, incorporada en Estonia.</w:t>
            </w:r>
          </w:p>
        </w:tc>
      </w:tr>
    </w:tbl>
    <w:p/>
    <w:p>
      <w:pPr>
        <w:pStyle w:val="Heading2"/>
        <w:spacing w:before="320" w:after="140"/>
      </w:pPr>
      <w:r>
        <w:rPr>
          <w:rFonts w:ascii="Arial" w:hAnsi="Arial"/>
          <w:b/>
          <w:color w:val="3B82F6"/>
          <w:sz w:val="48"/>
        </w:rPr>
        <w:t>12. Descripción corta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312"/>
      </w:tblGrid>
      <w:tr>
        <w:tc>
          <w:tcPr>
            <w:tcW w:type="dxa" w:w="10312"/>
            <w:shd w:fill="F1F5F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ptos" w:hAnsi="Aptos" w:eastAsia="Aptos"/>
                <w:b/>
                <w:color w:val="243042"/>
                <w:sz w:val="18"/>
              </w:rPr>
              <w:t>30 PALABRAS</w:t>
            </w:r>
          </w:p>
          <w:p>
            <w:r>
              <w:rPr>
                <w:rFonts w:ascii="Aptos" w:hAnsi="Aptos" w:eastAsia="Aptos"/>
                <w:b/>
                <w:color w:val="243042"/>
                <w:sz w:val="18"/>
              </w:rPr>
              <w:t>ENTIA es una infraestructura global que resuelve, verifica y mantiene identidades económicas para humanos, buscadores, LLMs y agentes.</w:t>
            </w:r>
          </w:p>
        </w:tc>
      </w:tr>
    </w:tbl>
    <w:p/>
    <w:sectPr w:rsidR="00FC693F" w:rsidRPr="0006063C" w:rsidSect="00034616">
      <w:headerReference w:type="default" r:id="rId9"/>
      <w:footerReference w:type="default" r:id="rId10"/>
      <w:pgSz w:w="12240" w:h="15840"/>
      <w:pgMar w:top="1037" w:right="1123" w:bottom="936" w:left="1123" w:header="360" w:footer="40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 w:eastAsia="Aptos"/>
        <w:color w:val="475569"/>
        <w:sz w:val="16"/>
      </w:rPr>
      <w:t xml:space="preserve">ENTIA · entia.systems/press · fv@entia.systems   |  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A6473"/>
        <w:sz w:val="16"/>
      </w:rPr>
      <w:t>ENTIA European Machine Access Case · Perfil corporativo</w:t>
    </w:r>
  </w:p>
  <w:tbl>
    <w:tblPr>
      <w:tblW w:type="auto" w:w="0"/>
      <w:jc w:val="center"/>
      <w:tblLayout w:type="fixed"/>
      <w:tblLook w:firstColumn="1" w:firstRow="1" w:lastColumn="0" w:lastRow="0" w:noHBand="0" w:noVBand="1" w:val="04A0"/>
      <w:bottom w:val="single" w:sz="12" w:color="2563EB"/>
      <w:bottom w:val="single" w:sz="12" w:color="2563EB"/>
      <w:bottom w:val="single" w:sz="12" w:color="2563EB"/>
    </w:tblPr>
    <w:tblGrid>
      <w:gridCol w:w="1584"/>
      <w:gridCol w:w="8064"/>
    </w:tblGrid>
    <w:tr>
      <w:tc>
        <w:tcPr>
          <w:tcW w:type="dxa" w:w="4824"/>
          <w:tcMar>
            <w:top w:w="0" w:type="dxa"/>
            <w:start w:w="0" w:type="dxa"/>
            <w:bottom w:w="70" w:type="dxa"/>
            <w:end w:w="0" w:type="dxa"/>
          </w:tcMar>
        </w:tcPr>
        <w:p>
          <w:r/>
          <w:r>
            <w:rPr>
              <w:rFonts w:ascii="Aptos Display" w:hAnsi="Aptos Display" w:eastAsia="Aptos Display"/>
              <w:b/>
              <w:color w:val="07101D"/>
              <w:sz w:val="24"/>
            </w:rPr>
            <w:t>ENTIA</w:t>
          </w:r>
        </w:p>
      </w:tc>
      <w:tc>
        <w:tcPr>
          <w:tcW w:type="dxa" w:w="4824"/>
          <w:tcMar>
            <w:top w:w="0" w:type="dxa"/>
            <w:start w:w="0" w:type="dxa"/>
            <w:bottom w:w="70" w:type="dxa"/>
            <w:end w:w="0" w:type="dxa"/>
          </w:tcMar>
        </w:tcPr>
        <w:p>
          <w:pPr>
            <w:jc w:val="right"/>
          </w:pPr>
          <w:r/>
          <w:r>
            <w:rPr>
              <w:rFonts w:ascii="Aptos" w:hAnsi="Aptos" w:eastAsia="Aptos"/>
              <w:b/>
              <w:color w:val="2563EB"/>
              <w:sz w:val="16"/>
            </w:rPr>
            <w:t>EUROPEAN MACHINE ACCESS CASE</w:t>
            <w:br/>
            <w:t>PRESS MATERIAL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276" w:lineRule="auto"/>
    </w:pPr>
    <w:rPr>
      <w:rFonts w:ascii="Aptos" w:hAnsi="Aptos" w:eastAsia="Aptos"/>
      <w:color w:val="243042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140"/>
      <w:outlineLvl w:val="0"/>
    </w:pPr>
    <w:rPr>
      <w:rFonts w:asciiTheme="majorHAnsi" w:eastAsiaTheme="majorEastAsia" w:hAnsiTheme="majorHAnsi" w:cstheme="majorBidi" w:ascii="Aptos Display" w:hAnsi="Aptos Display" w:eastAsia="Aptos Display"/>
      <w:b/>
      <w:bCs/>
      <w:color w:val="07101D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Aptos Display" w:hAnsi="Aptos Display" w:eastAsia="Aptos Display"/>
      <w:b/>
      <w:bCs/>
      <w:color w:val="07101D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80" w:after="140"/>
      <w:outlineLvl w:val="2"/>
    </w:pPr>
    <w:rPr>
      <w:rFonts w:asciiTheme="majorHAnsi" w:eastAsiaTheme="majorEastAsia" w:hAnsiTheme="majorHAnsi" w:cstheme="majorBidi" w:ascii="Aptos Display" w:hAnsi="Aptos Display" w:eastAsia="Aptos Display"/>
      <w:b/>
      <w:bCs/>
      <w:color w:val="2563EB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40" w:line="240" w:lineRule="auto" w:before="0"/>
      <w:contextualSpacing/>
    </w:pPr>
    <w:rPr>
      <w:rFonts w:asciiTheme="majorHAnsi" w:eastAsiaTheme="majorEastAsia" w:hAnsiTheme="majorHAnsi" w:cstheme="majorBidi" w:ascii="Aptos Display" w:hAnsi="Aptos Display" w:eastAsia="Aptos Display"/>
      <w:b/>
      <w:color w:val="07101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numPr>
        <w:ilvl w:val="1"/>
      </w:numPr>
      <w:spacing w:before="0" w:after="140"/>
    </w:pPr>
    <w:rPr>
      <w:rFonts w:asciiTheme="majorHAnsi" w:eastAsiaTheme="majorEastAsia" w:hAnsiTheme="majorHAnsi" w:cstheme="majorBidi" w:ascii="Aptos Display" w:hAnsi="Aptos Display" w:eastAsia="Aptos Display"/>
      <w:b w:val="0"/>
      <w:i/>
      <w:iCs/>
      <w:color w:val="475569"/>
      <w:spacing w:val="15"/>
      <w:sz w:val="26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PIEZA 5 · PERFIL CORPORATIVO</dc:title>
  <dc:subject>ENTIA European Machine Access Case press material</dc:subject>
  <dc:creator>ENTIA / PrecisionAI Marketing OÜ</dc:creator>
  <cp:keywords>ENTIA, EMAC, machine access, press room</cp:keywords>
  <dc:description>Official press-room edition. Source: entia.systems/press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