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023360" cy="718106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ntia_logo_official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23360" cy="71810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  <w:spacing w:after="60"/>
        <w:jc w:val="center"/>
      </w:pPr>
      <w:r>
        <w:rPr>
          <w:rFonts w:ascii="Arial" w:hAnsi="Arial"/>
          <w:b/>
          <w:color w:val="3B82F6"/>
          <w:sz w:val="20"/>
        </w:rPr>
        <w:t>PIEZA 6 · BIOGRAFÍA Y PERFIL PROFESIONAL</w:t>
      </w:r>
    </w:p>
    <w:p>
      <w:pPr>
        <w:pStyle w:val="Title"/>
        <w:spacing w:after="80"/>
        <w:jc w:val="center"/>
      </w:pPr>
      <w:r>
        <w:rPr>
          <w:rFonts w:ascii="Arial" w:hAnsi="Arial"/>
          <w:b/>
          <w:color w:val="141C28"/>
          <w:sz w:val="58"/>
        </w:rPr>
        <w:t>Fernando Vilches</w:t>
      </w:r>
    </w:p>
    <w:p>
      <w:pPr>
        <w:pStyle w:val="Subtitle"/>
        <w:spacing w:after="360"/>
        <w:jc w:val="center"/>
      </w:pPr>
      <w:r>
        <w:rPr>
          <w:rFonts w:ascii="Arial" w:hAnsi="Arial"/>
          <w:b/>
          <w:color w:val="5A6473"/>
          <w:sz w:val="28"/>
        </w:rPr>
        <w:t>Fundador de ENTIA · Infraestructuras de IA · Tech Marketing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POSICIONAMIENTO PRINCIPAL</w:t>
            </w:r>
          </w:p>
          <w:p>
            <w:r>
              <w:rPr>
                <w:rFonts w:ascii="Aptos" w:hAnsi="Aptos" w:eastAsia="Aptos"/>
                <w:b/>
                <w:color w:val="243042"/>
                <w:sz w:val="18"/>
              </w:rPr>
              <w:t>Fernando Vilches es emprendedor, fundador de ENTIA y experto en infraestructuras de inteligencia artificial, con una trayectoria construida entre el marketing, la publicidad digital, la tecnología y el negocio.</w:t>
            </w:r>
          </w:p>
        </w:tc>
      </w:tr>
    </w:tbl>
    <w:p/>
    <w:p>
      <w:pPr>
        <w:pStyle w:val="Heading2"/>
        <w:spacing w:before="320" w:after="140"/>
      </w:pPr>
      <w:r>
        <w:rPr>
          <w:rFonts w:ascii="Arial" w:hAnsi="Arial"/>
          <w:b/>
          <w:color w:val="3B82F6"/>
          <w:sz w:val="48"/>
        </w:rPr>
        <w:t>1. Perfil profesional</w:t>
      </w:r>
    </w:p>
    <w:p>
      <w:pPr>
        <w:spacing w:after="120"/>
      </w:pPr>
      <w:r>
        <w:rPr>
          <w:rFonts w:ascii="Arial" w:hAnsi="Arial"/>
          <w:b w:val="0"/>
          <w:color w:val="141C28"/>
          <w:sz w:val="21"/>
        </w:rPr>
        <w:t>Fernando Vilches trabaja en la intersección entre inteligencia artificial, infraestructura de datos, marketing y modelos económicos digitales. Su experiencia parte del lado del anunciante y de más de dos décadas observando cómo Internet organizó la relación entre empresas, audiencias y plataformas alrededor del clic.</w:t>
      </w:r>
    </w:p>
    <w:p>
      <w:pPr>
        <w:spacing w:after="120"/>
      </w:pPr>
      <w:r>
        <w:rPr>
          <w:rFonts w:ascii="Arial" w:hAnsi="Arial"/>
          <w:b w:val="0"/>
          <w:color w:val="141C28"/>
          <w:sz w:val="21"/>
        </w:rPr>
        <w:t>Desde ENTIA estudia cómo los LLMs y los agentes están transformando ese modelo: ya no se limitan a enviar tráfico, sino que acceden, interpretan, sintetizan y toman decisiones a partir de infraestructuras de información mantenidas por terceros.</w:t>
      </w:r>
    </w:p>
    <w:p>
      <w:pPr>
        <w:spacing w:after="120"/>
      </w:pPr>
      <w:r>
        <w:rPr>
          <w:rFonts w:ascii="Arial" w:hAnsi="Arial"/>
          <w:b w:val="0"/>
          <w:color w:val="141C28"/>
          <w:sz w:val="21"/>
        </w:rPr>
        <w:t>Su trabajo combina visión de mercado, diseño de producto, telemetría machine-first y construcción de infraestructura para entender y gobernar esa transición.</w:t>
      </w:r>
    </w:p>
    <w:p>
      <w:pPr>
        <w:pStyle w:val="Heading2"/>
        <w:spacing w:before="320" w:after="140"/>
      </w:pPr>
      <w:r>
        <w:rPr>
          <w:rFonts w:ascii="Arial" w:hAnsi="Arial"/>
          <w:b/>
          <w:color w:val="3B82F6"/>
          <w:sz w:val="48"/>
        </w:rPr>
        <w:t>2. Trayectoria</w:t>
      </w:r>
    </w:p>
    <w:p>
      <w:pPr>
        <w:pStyle w:val="ListBullet"/>
        <w:spacing w:after="60"/>
      </w:pPr>
      <w:r>
        <w:rPr>
          <w:rFonts w:ascii="Arial" w:hAnsi="Arial"/>
          <w:color w:val="141C28"/>
          <w:sz w:val="20"/>
        </w:rPr>
        <w:t>Experiencia profesional en marketing, publicidad digital, tecnología y negocio.</w:t>
      </w:r>
    </w:p>
    <w:p>
      <w:pPr>
        <w:pStyle w:val="ListBullet"/>
        <w:spacing w:after="60"/>
      </w:pPr>
      <w:r>
        <w:rPr>
          <w:rFonts w:ascii="Arial" w:hAnsi="Arial"/>
          <w:color w:val="141C28"/>
          <w:sz w:val="20"/>
        </w:rPr>
        <w:t>Conocimiento directo de la economía digital desde el lado del anunciante.</w:t>
      </w:r>
    </w:p>
    <w:p>
      <w:pPr>
        <w:pStyle w:val="ListBullet"/>
        <w:spacing w:after="60"/>
      </w:pPr>
      <w:r>
        <w:rPr>
          <w:rFonts w:ascii="Arial" w:hAnsi="Arial"/>
          <w:color w:val="141C28"/>
          <w:sz w:val="20"/>
        </w:rPr>
        <w:t>Especialización en la transición desde un Internet organizado alrededor del clic hacia un entorno organizado alrededor de agentes.</w:t>
      </w:r>
    </w:p>
    <w:p>
      <w:pPr>
        <w:pStyle w:val="ListBullet"/>
        <w:spacing w:after="60"/>
      </w:pPr>
      <w:r>
        <w:rPr>
          <w:rFonts w:ascii="Arial" w:hAnsi="Arial"/>
          <w:color w:val="141C28"/>
          <w:sz w:val="20"/>
        </w:rPr>
        <w:t>Construcción de infraestructura propia para observar acceso automatizado, persistencia, volumen y comportamiento de familias de agentes.</w:t>
      </w:r>
    </w:p>
    <w:p>
      <w:pPr>
        <w:pStyle w:val="ListBullet"/>
        <w:spacing w:after="60"/>
      </w:pPr>
      <w:r>
        <w:rPr>
          <w:rFonts w:ascii="Arial" w:hAnsi="Arial"/>
          <w:color w:val="141C28"/>
          <w:sz w:val="20"/>
        </w:rPr>
        <w:t>Desarrollo de modelos de identidad económica canónica para humanos, buscadores, LLMs y agentes.</w:t>
      </w:r>
    </w:p>
    <w:p>
      <w:pPr>
        <w:pStyle w:val="ListBullet"/>
        <w:spacing w:after="60"/>
      </w:pPr>
      <w:r>
        <w:rPr>
          <w:rFonts w:ascii="Arial" w:hAnsi="Arial"/>
          <w:color w:val="141C28"/>
          <w:sz w:val="20"/>
        </w:rPr>
        <w:t>Trabajo en marcos de gobernanza, continuidad autorizada y licenciamiento del acceso máquina.</w:t>
      </w:r>
    </w:p>
    <w:p>
      <w:pPr>
        <w:pStyle w:val="ListBullet"/>
        <w:spacing w:after="60"/>
      </w:pPr>
      <w:r>
        <w:rPr>
          <w:rFonts w:ascii="Arial" w:hAnsi="Arial"/>
          <w:color w:val="141C28"/>
          <w:sz w:val="20"/>
        </w:rPr>
        <w:t>Dirección estratégica y operativa de ENTIA desde Madrid.</w:t>
      </w:r>
    </w:p>
    <w:p>
      <w:pPr>
        <w:pStyle w:val="Heading2"/>
        <w:pageBreakBefore/>
        <w:spacing w:before="320" w:after="140"/>
      </w:pPr>
      <w:r>
        <w:rPr>
          <w:rFonts w:ascii="Arial" w:hAnsi="Arial"/>
          <w:b/>
          <w:color w:val="3B82F6"/>
          <w:sz w:val="48"/>
        </w:rPr>
        <w:t>3. Su tesis principal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TESIS DE MERCADO</w:t>
            </w:r>
          </w:p>
          <w:p>
            <w:r>
              <w:rPr>
                <w:rFonts w:ascii="Aptos" w:hAnsi="Aptos" w:eastAsia="Aptos"/>
                <w:b/>
                <w:color w:val="243042"/>
                <w:sz w:val="18"/>
              </w:rPr>
              <w:t>Durante veinticinco años, Internet se organizó alrededor del clic. La siguiente etapa se organizará alrededor de agentes que acceden, interpretan y deciden. Mi trabajo consiste en entender esa transición y construir la infraestructura necesaria para gobernarla.</w:t>
            </w:r>
          </w:p>
        </w:tc>
      </w:tr>
    </w:tbl>
    <w:p/>
    <w:p>
      <w:pPr>
        <w:spacing w:after="120"/>
      </w:pPr>
      <w:r>
        <w:rPr>
          <w:rFonts w:ascii="Arial" w:hAnsi="Arial"/>
          <w:b w:val="0"/>
          <w:color w:val="141C28"/>
          <w:sz w:val="21"/>
        </w:rPr>
        <w:t>Esta tesis no parte de una visión puramente académica o regulatoria. Parte de una pregunta comercial concreta: qué ocurre con el valor, la atribución y la relación económica cuando una máquina utiliza información sin devolver necesariamente una visita, una impresión o un clic identificable.</w:t>
      </w:r>
    </w:p>
    <w:p>
      <w:pPr>
        <w:pStyle w:val="Heading2"/>
        <w:spacing w:before="320" w:after="140"/>
      </w:pPr>
      <w:r>
        <w:rPr>
          <w:rFonts w:ascii="Arial" w:hAnsi="Arial"/>
          <w:b/>
          <w:color w:val="3B82F6"/>
          <w:sz w:val="48"/>
        </w:rPr>
        <w:t>4. Papel en ENTIA</w:t>
      </w:r>
    </w:p>
    <w:p>
      <w:pPr>
        <w:spacing w:after="120"/>
      </w:pPr>
      <w:r>
        <w:rPr>
          <w:rFonts w:ascii="Arial" w:hAnsi="Arial"/>
          <w:b w:val="0"/>
          <w:color w:val="141C28"/>
          <w:sz w:val="21"/>
        </w:rPr>
        <w:t>Como fundador de ENTIA, Fernando Vilches dirige el desarrollo de una infraestructura global de resolución de identidad económica. ENTIA convierte observaciones procedentes de fuentes públicas y oficiales en afirmaciones gobernadas, resuelve entidades, mantiene un grafo canónico y publica proyecciones para humanos y máquinas.</w:t>
      </w:r>
    </w:p>
    <w:p>
      <w:pPr>
        <w:pStyle w:val="ListBullet"/>
        <w:spacing w:after="60"/>
      </w:pPr>
      <w:r>
        <w:rPr>
          <w:rFonts w:ascii="Arial" w:hAnsi="Arial"/>
          <w:color w:val="141C28"/>
          <w:sz w:val="20"/>
        </w:rPr>
        <w:t>Definición de la visión de producto y de la arquitectura comercial.</w:t>
      </w:r>
    </w:p>
    <w:p>
      <w:pPr>
        <w:pStyle w:val="ListBullet"/>
        <w:spacing w:after="60"/>
      </w:pPr>
      <w:r>
        <w:rPr>
          <w:rFonts w:ascii="Arial" w:hAnsi="Arial"/>
          <w:color w:val="141C28"/>
          <w:sz w:val="20"/>
        </w:rPr>
        <w:t>Diseño del modelo de adhesión para operadores que acceden de forma continuada.</w:t>
      </w:r>
    </w:p>
    <w:p>
      <w:pPr>
        <w:pStyle w:val="ListBullet"/>
        <w:spacing w:after="60"/>
      </w:pPr>
      <w:r>
        <w:rPr>
          <w:rFonts w:ascii="Arial" w:hAnsi="Arial"/>
          <w:color w:val="141C28"/>
          <w:sz w:val="20"/>
        </w:rPr>
        <w:t>Supervisión de la telemetría de acceso máquina.</w:t>
      </w:r>
    </w:p>
    <w:p>
      <w:pPr>
        <w:pStyle w:val="ListBullet"/>
        <w:spacing w:after="60"/>
      </w:pPr>
      <w:r>
        <w:rPr>
          <w:rFonts w:ascii="Arial" w:hAnsi="Arial"/>
          <w:color w:val="141C28"/>
          <w:sz w:val="20"/>
        </w:rPr>
        <w:t>Desarrollo del marco de cinco capas: acceso, elegibilidad, recuperación, citación e influencia en la respuesta.</w:t>
      </w:r>
    </w:p>
    <w:p>
      <w:pPr>
        <w:pStyle w:val="ListBullet"/>
        <w:spacing w:after="60"/>
      </w:pPr>
      <w:r>
        <w:rPr>
          <w:rFonts w:ascii="Arial" w:hAnsi="Arial"/>
          <w:color w:val="141C28"/>
          <w:sz w:val="20"/>
        </w:rPr>
        <w:t>Formulación de la distinción entre adquisición persistente del corpus y recuperación episódica en tiempo de respuesta.</w:t>
      </w:r>
    </w:p>
    <w:p>
      <w:pPr>
        <w:pStyle w:val="ListBullet"/>
        <w:spacing w:after="60"/>
      </w:pPr>
      <w:r>
        <w:rPr>
          <w:rFonts w:ascii="Arial" w:hAnsi="Arial"/>
          <w:color w:val="141C28"/>
          <w:sz w:val="20"/>
        </w:rPr>
        <w:t>Interlocución con operadores, investigadores, medios e instituciones.</w:t>
      </w:r>
    </w:p>
    <w:p>
      <w:pPr>
        <w:pStyle w:val="Heading2"/>
        <w:spacing w:before="320" w:after="140"/>
      </w:pPr>
      <w:r>
        <w:rPr>
          <w:rFonts w:ascii="Arial" w:hAnsi="Arial"/>
          <w:b/>
          <w:color w:val="3B82F6"/>
          <w:sz w:val="48"/>
        </w:rPr>
        <w:t>5. Experiencia construida desde la telemetría</w:t>
      </w:r>
    </w:p>
    <w:p>
      <w:pPr>
        <w:spacing w:after="120"/>
      </w:pPr>
      <w:r>
        <w:rPr>
          <w:rFonts w:ascii="Arial" w:hAnsi="Arial"/>
          <w:b w:val="0"/>
          <w:color w:val="141C28"/>
          <w:sz w:val="21"/>
        </w:rPr>
        <w:t>La especialización de Fernando en infraestructuras de IA se ha construido mediante infraestructura propia y observación directa. ENTIA ha registrado millones de solicitudes automatizadas sobre un corpus mantenido de identidades económicas, permitiendo distinguir entre acceso demostrado e inferencias no observables sobre entrenamiento, almacenamiento o uso posterior.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DISCIPLINA PROBATORIA</w:t>
            </w:r>
          </w:p>
          <w:p>
            <w:r>
              <w:rPr>
                <w:rFonts w:ascii="Aptos" w:hAnsi="Aptos" w:eastAsia="Aptos"/>
                <w:b/>
                <w:color w:val="243042"/>
                <w:sz w:val="18"/>
              </w:rPr>
              <w:t>La telemetría demuestra acceso y entrega. No demuestra por sí sola qué ocurre después dentro de un modelo, producto o agente.</w:t>
            </w:r>
          </w:p>
        </w:tc>
      </w:tr>
    </w:tbl>
    <w:p/>
    <w:p>
      <w:pPr>
        <w:pStyle w:val="Heading2"/>
        <w:spacing w:before="320" w:after="140"/>
      </w:pPr>
      <w:r>
        <w:rPr>
          <w:rFonts w:ascii="Arial" w:hAnsi="Arial"/>
          <w:b/>
          <w:color w:val="3B82F6"/>
          <w:sz w:val="48"/>
        </w:rPr>
        <w:t>6. Posicionamiento diferencial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DESCRIPCIÓN EDITORIAL</w:t>
            </w:r>
          </w:p>
          <w:p>
            <w:r>
              <w:rPr>
                <w:rFonts w:ascii="Aptos" w:hAnsi="Aptos" w:eastAsia="Aptos"/>
                <w:b/>
                <w:color w:val="243042"/>
                <w:sz w:val="18"/>
              </w:rPr>
              <w:t>Fernando Vilches no llega a la IA desde la gobernanza del dato: llega desde el marketing, el anunciante y la tecnología, y utiliza infraestructura y telemetría propias para entender cómo los agentes están sustituyendo el modelo de Internet organizado alrededor del clic.</w:t>
            </w:r>
          </w:p>
        </w:tc>
      </w:tr>
    </w:tbl>
    <w:p/>
    <w:p>
      <w:pPr>
        <w:spacing w:after="120"/>
      </w:pPr>
      <w:r>
        <w:rPr>
          <w:rFonts w:ascii="Arial" w:hAnsi="Arial"/>
          <w:b w:val="0"/>
          <w:color w:val="141C28"/>
          <w:sz w:val="21"/>
        </w:rPr>
        <w:t>Este posicionamiento permite explicar la IA no solo como una tecnología, sino como una transformación de la distribución, la atribución, la demanda y la relación económica entre empresas y plataformas.</w:t>
      </w:r>
    </w:p>
    <w:p>
      <w:pPr>
        <w:pStyle w:val="Heading2"/>
        <w:spacing w:before="320" w:after="140"/>
      </w:pPr>
      <w:r>
        <w:rPr>
          <w:rFonts w:ascii="Arial" w:hAnsi="Arial"/>
          <w:b/>
          <w:color w:val="3B82F6"/>
          <w:sz w:val="48"/>
        </w:rPr>
        <w:t>7. Biografías listas para prensa</w:t>
      </w:r>
    </w:p>
    <w:p>
      <w:pPr>
        <w:spacing w:before="220" w:after="140"/>
      </w:pPr>
      <w:r>
        <w:rPr>
          <w:rFonts w:ascii="Arial" w:hAnsi="Arial"/>
          <w:b/>
          <w:color w:val="141C28"/>
          <w:sz w:val="30"/>
        </w:rPr>
        <w:t>Bio corta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APROXIMADAMENTE 35 PALABRAS</w:t>
            </w:r>
          </w:p>
          <w:p>
            <w:r>
              <w:rPr>
                <w:rFonts w:ascii="Aptos" w:hAnsi="Aptos" w:eastAsia="Aptos"/>
                <w:b/>
                <w:color w:val="243042"/>
                <w:sz w:val="18"/>
              </w:rPr>
              <w:t>Fernando Vilches es emprendedor y fundador de ENTIA. Especialista en infraestructuras de IA y Tech Marketing, estudia cómo los agentes están sustituyendo el modelo de Internet organizado alrededor del clic.</w:t>
            </w:r>
          </w:p>
        </w:tc>
      </w:tr>
    </w:tbl>
    <w:p/>
    <w:p>
      <w:pPr>
        <w:spacing w:before="220" w:after="140"/>
      </w:pPr>
      <w:r>
        <w:rPr>
          <w:rFonts w:ascii="Arial" w:hAnsi="Arial"/>
          <w:b/>
          <w:color w:val="141C28"/>
          <w:sz w:val="30"/>
        </w:rPr>
        <w:t>Bio media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APROXIMADAMENTE 75 PALABRAS</w:t>
            </w:r>
          </w:p>
          <w:p>
            <w:r>
              <w:rPr>
                <w:rFonts w:ascii="Aptos" w:hAnsi="Aptos" w:eastAsia="Aptos"/>
                <w:b/>
                <w:color w:val="243042"/>
                <w:sz w:val="18"/>
              </w:rPr>
              <w:t>Fernando Vilches es emprendedor, fundador de ENTIA y experto en infraestructuras de inteligencia artificial. Su trayectoria combina marketing, publicidad digital, tecnología y negocio, con experiencia directa desde el lado del anunciante. Desde Madrid dirige el desarrollo de ENTIA, una infraestructura global de resolución de identidad económica, y estudia cómo los LLMs y los agentes están transformando el modelo económico de Internet.</w:t>
            </w:r>
          </w:p>
        </w:tc>
      </w:tr>
    </w:tbl>
    <w:p/>
    <w:p>
      <w:pPr>
        <w:spacing w:before="220" w:after="140"/>
      </w:pPr>
      <w:r>
        <w:rPr>
          <w:rFonts w:ascii="Arial" w:hAnsi="Arial"/>
          <w:b/>
          <w:color w:val="141C28"/>
          <w:sz w:val="30"/>
        </w:rPr>
        <w:t>Bio larga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APROXIMADAMENTE 130 PALABRAS</w:t>
            </w:r>
          </w:p>
          <w:p>
            <w:r>
              <w:rPr>
                <w:rFonts w:ascii="Aptos" w:hAnsi="Aptos" w:eastAsia="Aptos"/>
                <w:b/>
                <w:color w:val="243042"/>
                <w:sz w:val="18"/>
              </w:rPr>
              <w:t>Fernando Vilches es emprendedor, fundador de ENTIA y experto en infraestructuras de inteligencia artificial, con una trayectoria construida entre el marketing, la publicidad digital, la tecnología y el negocio. Su experiencia desde el lado del anunciante le ha permitido observar durante más de dos décadas cómo el clic organizó la distribución, la atribución y la economía digital. Desde Madrid dirige ENTIA, una infraestructura global de resolución de identidad económica que mantiene identidades canónicas, evidencia, relaciones y superficies machine-first para humanos, buscadores, LLMs y agentes. Su trabajo se centra en comprender cómo los agentes están sustituyendo el modelo tradicional de navegación y en construir la infraestructura necesaria para que esa transición sea verificable, gobernable y económicamente sostenible.</w:t>
            </w:r>
          </w:p>
        </w:tc>
      </w:tr>
    </w:tbl>
    <w:p/>
    <w:p>
      <w:pPr>
        <w:pStyle w:val="Heading2"/>
        <w:spacing w:before="320" w:after="140"/>
      </w:pPr>
      <w:r>
        <w:rPr>
          <w:rFonts w:ascii="Arial" w:hAnsi="Arial"/>
          <w:b/>
          <w:color w:val="3B82F6"/>
          <w:sz w:val="48"/>
        </w:rPr>
        <w:t>8. Temas sobre los que puede intervenir</w:t>
      </w:r>
    </w:p>
    <w:p>
      <w:pPr>
        <w:pStyle w:val="ListBullet"/>
        <w:spacing w:after="60"/>
      </w:pPr>
      <w:r>
        <w:rPr>
          <w:rFonts w:ascii="Arial" w:hAnsi="Arial"/>
          <w:color w:val="141C28"/>
          <w:sz w:val="20"/>
        </w:rPr>
        <w:t>La transición del clic a los agentes.</w:t>
      </w:r>
    </w:p>
    <w:p>
      <w:pPr>
        <w:pStyle w:val="ListBullet"/>
        <w:spacing w:after="60"/>
      </w:pPr>
      <w:r>
        <w:rPr>
          <w:rFonts w:ascii="Arial" w:hAnsi="Arial"/>
          <w:color w:val="141C28"/>
          <w:sz w:val="20"/>
        </w:rPr>
        <w:t>Marketing y publicidad en un Internet sin tráfico proporcional.</w:t>
      </w:r>
    </w:p>
    <w:p>
      <w:pPr>
        <w:pStyle w:val="ListBullet"/>
        <w:spacing w:after="60"/>
      </w:pPr>
      <w:r>
        <w:rPr>
          <w:rFonts w:ascii="Arial" w:hAnsi="Arial"/>
          <w:color w:val="141C28"/>
          <w:sz w:val="20"/>
        </w:rPr>
        <w:t>Infraestructuras de identidad económica para IA.</w:t>
      </w:r>
    </w:p>
    <w:p>
      <w:pPr>
        <w:pStyle w:val="ListBullet"/>
        <w:spacing w:after="60"/>
      </w:pPr>
      <w:r>
        <w:rPr>
          <w:rFonts w:ascii="Arial" w:hAnsi="Arial"/>
          <w:color w:val="141C28"/>
          <w:sz w:val="20"/>
        </w:rPr>
        <w:t>Acceso automatizado, telemetría y atribución.</w:t>
      </w:r>
    </w:p>
    <w:p>
      <w:pPr>
        <w:pStyle w:val="ListBullet"/>
        <w:spacing w:after="60"/>
      </w:pPr>
      <w:r>
        <w:rPr>
          <w:rFonts w:ascii="Arial" w:hAnsi="Arial"/>
          <w:color w:val="141C28"/>
          <w:sz w:val="20"/>
        </w:rPr>
        <w:t>Diferencia entre crawling, recuperación, citación e influencia.</w:t>
      </w:r>
    </w:p>
    <w:p>
      <w:pPr>
        <w:pStyle w:val="ListBullet"/>
        <w:spacing w:after="60"/>
      </w:pPr>
      <w:r>
        <w:rPr>
          <w:rFonts w:ascii="Arial" w:hAnsi="Arial"/>
          <w:color w:val="141C28"/>
          <w:sz w:val="20"/>
        </w:rPr>
        <w:t>Modelos de adhesión y continuidad autorizada.</w:t>
      </w:r>
    </w:p>
    <w:p>
      <w:pPr>
        <w:pStyle w:val="ListBullet"/>
        <w:spacing w:after="60"/>
      </w:pPr>
      <w:r>
        <w:rPr>
          <w:rFonts w:ascii="Arial" w:hAnsi="Arial"/>
          <w:color w:val="141C28"/>
          <w:sz w:val="20"/>
        </w:rPr>
        <w:t>Relación económica entre operadores de IA y proveedores de infraestructura.</w:t>
      </w:r>
    </w:p>
    <w:p>
      <w:pPr>
        <w:pStyle w:val="ListBullet"/>
        <w:spacing w:after="60"/>
      </w:pPr>
      <w:r>
        <w:rPr>
          <w:rFonts w:ascii="Arial" w:hAnsi="Arial"/>
          <w:color w:val="141C28"/>
          <w:sz w:val="20"/>
        </w:rPr>
        <w:t>Impacto de la IA en anunciantes, marcas y publishers.</w:t>
      </w:r>
    </w:p>
    <w:p>
      <w:pPr>
        <w:pStyle w:val="ListBullet"/>
        <w:spacing w:after="60"/>
      </w:pPr>
      <w:r>
        <w:rPr>
          <w:rFonts w:ascii="Arial" w:hAnsi="Arial"/>
          <w:color w:val="141C28"/>
          <w:sz w:val="20"/>
        </w:rPr>
        <w:t>Gobernanza y trazabilidad de fuentes para LLMs y agentes.</w:t>
      </w:r>
    </w:p>
    <w:p>
      <w:pPr>
        <w:pStyle w:val="Heading2"/>
        <w:spacing w:before="320" w:after="140"/>
      </w:pPr>
      <w:r>
        <w:rPr>
          <w:rFonts w:ascii="Arial" w:hAnsi="Arial"/>
          <w:b/>
          <w:color w:val="3B82F6"/>
          <w:sz w:val="48"/>
        </w:rPr>
        <w:t>9. Citas personales autorizadas</w:t>
      </w:r>
    </w:p>
    <w:p>
      <w:pPr>
        <w:pStyle w:val="ListBullet"/>
      </w:pPr>
      <w:r>
        <w:rPr>
          <w:rFonts w:ascii="Arial" w:hAnsi="Arial"/>
          <w:color w:val="141C28"/>
          <w:sz w:val="20"/>
        </w:rPr>
        <w:t>Durante veinticinco años medimos el valor mediante el clic. Los agentes están cambiando esa unidad de medida.</w:t>
      </w:r>
    </w:p>
    <w:p>
      <w:pPr>
        <w:pStyle w:val="ListBullet"/>
      </w:pPr>
      <w:r>
        <w:rPr>
          <w:rFonts w:ascii="Arial" w:hAnsi="Arial"/>
          <w:color w:val="141C28"/>
          <w:sz w:val="20"/>
        </w:rPr>
        <w:t>El problema no es que las máquinas accedan. El problema es que todavía no hemos construido una relación económica clara alrededor de ese acceso.</w:t>
      </w:r>
    </w:p>
    <w:p>
      <w:pPr>
        <w:pStyle w:val="ListBullet"/>
      </w:pPr>
      <w:r>
        <w:rPr>
          <w:rFonts w:ascii="Arial" w:hAnsi="Arial"/>
          <w:color w:val="141C28"/>
          <w:sz w:val="20"/>
        </w:rPr>
        <w:t>La infraestructura que permite decidir a un agente también tiene un coste, una procedencia y unos derechos.</w:t>
      </w:r>
    </w:p>
    <w:p>
      <w:pPr>
        <w:pStyle w:val="ListBullet"/>
      </w:pPr>
      <w:r>
        <w:rPr>
          <w:rFonts w:ascii="Arial" w:hAnsi="Arial"/>
          <w:color w:val="141C28"/>
          <w:sz w:val="20"/>
        </w:rPr>
        <w:t>No basta con aparecer en una respuesta. Hay que entender qué accedió el sistema, qué recuperó, qué citó y qué terminó influyendo.</w:t>
      </w:r>
    </w:p>
    <w:p>
      <w:pPr>
        <w:pStyle w:val="ListBullet"/>
      </w:pPr>
      <w:r>
        <w:rPr>
          <w:rFonts w:ascii="Arial" w:hAnsi="Arial"/>
          <w:color w:val="141C28"/>
          <w:sz w:val="20"/>
        </w:rPr>
        <w:t>ENTIA no vende acceso. Vende la continuidad autorizada de un acceso que ya está ocurriendo.</w:t>
      </w:r>
    </w:p>
    <w:p>
      <w:pPr>
        <w:pStyle w:val="ListBullet"/>
      </w:pPr>
      <w:r>
        <w:rPr>
          <w:rFonts w:ascii="Arial" w:hAnsi="Arial"/>
          <w:color w:val="141C28"/>
          <w:sz w:val="20"/>
        </w:rPr>
        <w:t>La precisión metodológica no reduce la fuerza del caso. La hace defendible.</w:t>
      </w:r>
    </w:p>
    <w:p>
      <w:pPr>
        <w:pStyle w:val="Heading2"/>
        <w:spacing w:before="320" w:after="140"/>
      </w:pPr>
      <w:r>
        <w:rPr>
          <w:rFonts w:ascii="Arial" w:hAnsi="Arial"/>
          <w:b/>
          <w:color w:val="3B82F6"/>
          <w:sz w:val="48"/>
        </w:rPr>
        <w:t>10. Datos de referencia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56"/>
        <w:gridCol w:w="5156"/>
      </w:tblGrid>
      <w:tr>
        <w:tc>
          <w:tcPr>
            <w:tcW w:type="dxa" w:w="5156"/>
            <w:shd w:fill="07101D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FFFFFF"/>
                <w:sz w:val="18"/>
              </w:rPr>
              <w:t>Campo</w:t>
            </w:r>
          </w:p>
        </w:tc>
        <w:tc>
          <w:tcPr>
            <w:tcW w:type="dxa" w:w="5156"/>
            <w:shd w:fill="07101D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FFFFFF"/>
                <w:sz w:val="18"/>
              </w:rPr>
              <w:t>Información</w:t>
            </w:r>
          </w:p>
        </w:tc>
      </w:tr>
      <w:tr>
        <w:tc>
          <w:tcPr>
            <w:tcW w:type="dxa" w:w="5156"/>
            <w:shd w:fill="F3F7FC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Nombre</w:t>
            </w:r>
          </w:p>
        </w:tc>
        <w:tc>
          <w:tcPr>
            <w:tcW w:type="dxa" w:w="515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Fernando Vilches</w:t>
            </w:r>
          </w:p>
        </w:tc>
      </w:tr>
      <w:tr>
        <w:tc>
          <w:tcPr>
            <w:tcW w:type="dxa" w:w="5156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Cargo</w:t>
            </w:r>
          </w:p>
        </w:tc>
        <w:tc>
          <w:tcPr>
            <w:tcW w:type="dxa" w:w="515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1F5F9"/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Fundador de ENTIA</w:t>
            </w:r>
          </w:p>
        </w:tc>
      </w:tr>
      <w:tr>
        <w:tc>
          <w:tcPr>
            <w:tcW w:type="dxa" w:w="5156"/>
            <w:shd w:fill="F3F7FC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Especialización</w:t>
            </w:r>
          </w:p>
        </w:tc>
        <w:tc>
          <w:tcPr>
            <w:tcW w:type="dxa" w:w="515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Infraestructuras de IA y Tech Marketing</w:t>
            </w:r>
          </w:p>
        </w:tc>
      </w:tr>
      <w:tr>
        <w:tc>
          <w:tcPr>
            <w:tcW w:type="dxa" w:w="5156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Base profesional</w:t>
            </w:r>
          </w:p>
        </w:tc>
        <w:tc>
          <w:tcPr>
            <w:tcW w:type="dxa" w:w="515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1F5F9"/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Madrid, España</w:t>
            </w:r>
          </w:p>
        </w:tc>
      </w:tr>
      <w:tr>
        <w:tc>
          <w:tcPr>
            <w:tcW w:type="dxa" w:w="5156"/>
            <w:shd w:fill="F3F7FC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Compañía</w:t>
            </w:r>
          </w:p>
        </w:tc>
        <w:tc>
          <w:tcPr>
            <w:tcW w:type="dxa" w:w="515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ENTIA</w:t>
            </w:r>
          </w:p>
        </w:tc>
      </w:tr>
      <w:tr>
        <w:tc>
          <w:tcPr>
            <w:tcW w:type="dxa" w:w="5156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Áreas</w:t>
            </w:r>
          </w:p>
        </w:tc>
        <w:tc>
          <w:tcPr>
            <w:tcW w:type="dxa" w:w="515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1F5F9"/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Marketing, publicidad digital, tecnología, negocio e infraestructura machine-first</w:t>
            </w:r>
          </w:p>
        </w:tc>
      </w:tr>
      <w:tr>
        <w:tc>
          <w:tcPr>
            <w:tcW w:type="dxa" w:w="5156"/>
            <w:shd w:fill="F3F7FC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Correo</w:t>
            </w:r>
          </w:p>
        </w:tc>
        <w:tc>
          <w:tcPr>
            <w:tcW w:type="dxa" w:w="515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fv@entia.systems</w:t>
            </w:r>
          </w:p>
        </w:tc>
      </w:tr>
    </w:tbl>
    <w:p/>
    <w:p>
      <w:pPr>
        <w:pStyle w:val="Heading2"/>
        <w:spacing w:before="320" w:after="140"/>
      </w:pPr>
      <w:r>
        <w:rPr>
          <w:rFonts w:ascii="Arial" w:hAnsi="Arial"/>
          <w:b/>
          <w:color w:val="3B82F6"/>
          <w:sz w:val="48"/>
        </w:rPr>
        <w:t>11. Fórmula editorial recomendada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PRIMERA MENCIÓN</w:t>
            </w:r>
          </w:p>
          <w:p>
            <w:r>
              <w:rPr>
                <w:rFonts w:ascii="Aptos" w:hAnsi="Aptos" w:eastAsia="Aptos"/>
                <w:b/>
                <w:color w:val="243042"/>
                <w:sz w:val="18"/>
              </w:rPr>
              <w:t>Fernando Vilches, fundador de ENTIA y experto en infraestructuras de IA y Tech Marketing.</w:t>
            </w:r>
          </w:p>
        </w:tc>
      </w:tr>
    </w:tbl>
    <w:p/>
    <w:p>
      <w:pPr>
        <w:spacing w:after="120"/>
      </w:pPr>
      <w:r>
        <w:rPr>
          <w:rFonts w:ascii="Arial" w:hAnsi="Arial"/>
          <w:b w:val="0"/>
          <w:color w:val="141C28"/>
          <w:sz w:val="21"/>
        </w:rPr>
        <w:t>Evitar presentarlo únicamente como experto en gobernanza, datos o regulación. Su trayectoria y su posición diferencial parten del marketing, el anunciante, la tecnología y la transformación del modelo económico de Internet.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37" w:right="1123" w:bottom="936" w:left="1123" w:header="360" w:footer="40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 w:eastAsia="Aptos"/>
        <w:color w:val="475569"/>
        <w:sz w:val="16"/>
      </w:rPr>
      <w:t xml:space="preserve">ENTIA · entia.systems/press · fv@entia.systems   |  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A6473"/>
        <w:sz w:val="16"/>
      </w:rPr>
      <w:t>ENTIA European Machine Access Case · Perfil de fundador</w:t>
    </w:r>
  </w:p>
  <w:tbl>
    <w:tblPr>
      <w:tblW w:type="auto" w:w="0"/>
      <w:jc w:val="center"/>
      <w:tblLayout w:type="fixed"/>
      <w:tblLook w:firstColumn="1" w:firstRow="1" w:lastColumn="0" w:lastRow="0" w:noHBand="0" w:noVBand="1" w:val="04A0"/>
      <w:bottom w:val="single" w:sz="12" w:color="2563EB"/>
      <w:bottom w:val="single" w:sz="12" w:color="2563EB"/>
      <w:bottom w:val="single" w:sz="12" w:color="2563EB"/>
    </w:tblPr>
    <w:tblGrid>
      <w:gridCol w:w="1584"/>
      <w:gridCol w:w="8064"/>
    </w:tblGrid>
    <w:tr>
      <w:tc>
        <w:tcPr>
          <w:tcW w:type="dxa" w:w="4824"/>
          <w:tcMar>
            <w:top w:w="0" w:type="dxa"/>
            <w:start w:w="0" w:type="dxa"/>
            <w:bottom w:w="70" w:type="dxa"/>
            <w:end w:w="0" w:type="dxa"/>
          </w:tcMar>
        </w:tcPr>
        <w:p>
          <w:r/>
          <w:r>
            <w:rPr>
              <w:rFonts w:ascii="Aptos Display" w:hAnsi="Aptos Display" w:eastAsia="Aptos Display"/>
              <w:b/>
              <w:color w:val="07101D"/>
              <w:sz w:val="24"/>
            </w:rPr>
            <w:t>ENTIA</w:t>
          </w:r>
        </w:p>
      </w:tc>
      <w:tc>
        <w:tcPr>
          <w:tcW w:type="dxa" w:w="4824"/>
          <w:tcMar>
            <w:top w:w="0" w:type="dxa"/>
            <w:start w:w="0" w:type="dxa"/>
            <w:bottom w:w="70" w:type="dxa"/>
            <w:end w:w="0" w:type="dxa"/>
          </w:tcMar>
        </w:tcPr>
        <w:p>
          <w:pPr>
            <w:jc w:val="right"/>
          </w:pPr>
          <w:r/>
          <w:r>
            <w:rPr>
              <w:rFonts w:ascii="Aptos" w:hAnsi="Aptos" w:eastAsia="Aptos"/>
              <w:b/>
              <w:color w:val="2563EB"/>
              <w:sz w:val="16"/>
            </w:rPr>
            <w:t>EUROPEAN MACHINE ACCESS CASE</w:t>
            <w:br/>
            <w:t>PRESS MATERIAL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276" w:lineRule="auto"/>
    </w:pPr>
    <w:rPr>
      <w:rFonts w:ascii="Aptos" w:hAnsi="Aptos" w:eastAsia="Aptos"/>
      <w:color w:val="24304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40"/>
      <w:outlineLvl w:val="0"/>
    </w:pPr>
    <w:rPr>
      <w:rFonts w:asciiTheme="majorHAnsi" w:eastAsiaTheme="majorEastAsia" w:hAnsiTheme="majorHAnsi" w:cstheme="majorBidi" w:ascii="Aptos Display" w:hAnsi="Aptos Display" w:eastAsia="Aptos Display"/>
      <w:b/>
      <w:bCs/>
      <w:color w:val="07101D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Aptos Display" w:hAnsi="Aptos Display" w:eastAsia="Aptos Display"/>
      <w:b/>
      <w:bCs/>
      <w:color w:val="07101D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80" w:after="140"/>
      <w:outlineLvl w:val="2"/>
    </w:pPr>
    <w:rPr>
      <w:rFonts w:asciiTheme="majorHAnsi" w:eastAsiaTheme="majorEastAsia" w:hAnsiTheme="majorHAnsi" w:cstheme="majorBidi" w:ascii="Aptos Display" w:hAnsi="Aptos Display" w:eastAsia="Aptos Display"/>
      <w:b/>
      <w:bCs/>
      <w:color w:val="2563EB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40" w:line="240" w:lineRule="auto" w:before="0"/>
      <w:contextualSpacing/>
    </w:pPr>
    <w:rPr>
      <w:rFonts w:asciiTheme="majorHAnsi" w:eastAsiaTheme="majorEastAsia" w:hAnsiTheme="majorHAnsi" w:cstheme="majorBidi" w:ascii="Aptos Display" w:hAnsi="Aptos Display" w:eastAsia="Aptos Display"/>
      <w:b/>
      <w:color w:val="07101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140"/>
    </w:pPr>
    <w:rPr>
      <w:rFonts w:asciiTheme="majorHAnsi" w:eastAsiaTheme="majorEastAsia" w:hAnsiTheme="majorHAnsi" w:cstheme="majorBidi" w:ascii="Aptos Display" w:hAnsi="Aptos Display" w:eastAsia="Aptos Display"/>
      <w:b w:val="0"/>
      <w:i/>
      <w:iCs/>
      <w:color w:val="475569"/>
      <w:spacing w:val="15"/>
      <w:sz w:val="2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PIEZA 6 · BIOGRAFÍA Y PERFIL PROFESIONAL</dc:title>
  <dc:subject>ENTIA European Machine Access Case press material</dc:subject>
  <dc:creator>ENTIA / PrecisionAI Marketing OÜ</dc:creator>
  <cp:keywords>ENTIA, EMAC, machine access, press room</cp:keywords>
  <dc:description>Official press-room edition. Source: entia.systems/press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