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i w:val="0"/>
          <w:color w:val="3B82F6"/>
          <w:sz w:val="20"/>
        </w:rPr>
        <w:t>PIEZA 7 · CRONOLOGÍA DOBLE</w:t>
      </w:r>
    </w:p>
    <w:p>
      <w:pPr>
        <w:pStyle w:val="Title"/>
        <w:spacing w:after="200"/>
        <w:jc w:val="center"/>
      </w:pPr>
      <w:r>
        <w:rPr>
          <w:rFonts w:ascii="Arial" w:hAnsi="Arial"/>
          <w:b/>
          <w:i w:val="0"/>
          <w:color w:val="141C28"/>
          <w:sz w:val="48"/>
        </w:rPr>
        <w:t>Del marketing del clic a la infraestructura para la era de los agentes</w:t>
      </w:r>
    </w:p>
    <w:p>
      <w:pPr>
        <w:pStyle w:val="Subtitle"/>
        <w:spacing w:after="320"/>
        <w:jc w:val="center"/>
      </w:pPr>
      <w:r>
        <w:rPr>
          <w:rFonts w:ascii="Arial" w:hAnsi="Arial"/>
          <w:b w:val="0"/>
          <w:i w:val="0"/>
          <w:color w:val="5A6473"/>
          <w:sz w:val="24"/>
        </w:rPr>
        <w:t>Dos líneas paralelas: evolución profesional y de mercado; construcción y documentación del caso ENTIA.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Regla editorial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• ENTIA es una infraestructura global.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• Las oficinas centrales y la dirección operativa están en Madrid.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• PrecisionAI Marketing OÜ es la entidad jurídica constituida en Estonia.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• EMAC es un caso europeo por su marco institucional y regulatorio.</w:t>
            </w:r>
          </w:p>
        </w:tc>
      </w:tr>
    </w:tbl>
    <w:p/>
    <w:p>
      <w:pPr>
        <w:pStyle w:val="Heading2"/>
        <w:spacing w:before="360" w:after="140"/>
      </w:pPr>
      <w:r>
        <w:rPr>
          <w:rFonts w:ascii="Arial" w:hAnsi="Arial"/>
          <w:b/>
          <w:color w:val="3B82F6"/>
          <w:sz w:val="48"/>
        </w:rPr>
        <w:t>Lectura editorial</w:t>
      </w:r>
    </w:p>
    <w:p>
      <w:pPr>
        <w:spacing w:after="120"/>
      </w:pPr>
      <w:r>
        <w:rPr>
          <w:rFonts w:ascii="Arial" w:hAnsi="Arial"/>
          <w:b w:val="0"/>
          <w:i w:val="0"/>
          <w:color w:val="141C28"/>
          <w:sz w:val="21"/>
        </w:rPr>
        <w:t>La cronología no debe presentar a Fernando Vilches como un especialista que llega al problema desde la gobernanza del dato. Debe mostrar una evolución coherente desde el marketing y la publicidad digital hacia la tecnología, la infraestructura de IA y el estudio del nuevo modelo económico de publicación.</w:t>
      </w:r>
    </w:p>
    <w:p>
      <w:pPr>
        <w:spacing w:after="120"/>
      </w:pPr>
      <w:r>
        <w:rPr>
          <w:rFonts w:ascii="Arial" w:hAnsi="Arial"/>
          <w:b w:val="0"/>
          <w:i w:val="0"/>
          <w:color w:val="141C28"/>
          <w:sz w:val="21"/>
        </w:rPr>
        <w:t>El caso ENTIA funciona como evidencia concreta de una transformación mayor: el paso de una Internet organizada alrededor del clic a otra en la que LLMs y agentes recuperan, interpretan y presentan directamente la información.</w:t>
      </w:r>
    </w:p>
    <w:p>
      <w:pPr>
        <w:pStyle w:val="Heading2"/>
        <w:spacing w:before="360" w:after="140"/>
      </w:pPr>
      <w:r>
        <w:rPr>
          <w:rFonts w:ascii="Arial" w:hAnsi="Arial"/>
          <w:b/>
          <w:color w:val="3B82F6"/>
          <w:sz w:val="48"/>
        </w:rPr>
        <w:t>Cronología doble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37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Etapa</w:t>
            </w:r>
          </w:p>
        </w:tc>
        <w:tc>
          <w:tcPr>
            <w:tcW w:type="dxa" w:w="3437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Transformación del mercado</w:t>
            </w:r>
          </w:p>
        </w:tc>
        <w:tc>
          <w:tcPr>
            <w:tcW w:type="dxa" w:w="3437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Trayectoria / caso ENTIA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Más de 25 años de modelo digital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Internet se organiza alrededor del clic: buscadores distribuyen tráfico, medios monetizan audiencias y anunciantes compran atención y conversión.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Fernando desarrolla su trayectoria en marketing y publicidad digital, comprendiendo la relación entre inversión, medios, audiencias, atribución y negocio.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Experiencia desde el anunciante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Las decisiones de marketing se apoyan en tráfico, rendimiento, conversión, marca y medición.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Trabaja desde el lado del anunciante y conoce cómo se toman las decisiones de inversión, adquisición, atribución y construcción de marca.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Paso hacia la tecnología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Las plataformas y la automatización empiezan a controlar una parte creciente de la distribución y la medición.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Amplía su trabajo desde el marketing hacia tecnología, producto e infraestructura digital.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Aparición de los LLMs y agentes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Los sistemas dejan de limitarse a indexar y redirigir. Recuperan, sintetizan y responden directamente.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Centra su investigación en cómo esta nueva capa máquina transforma visibilidad, autoridad, atribución, publicación y remuneración.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Construcción de ENTIA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identidad económica se convierte en un objeto consumible por humanos, buscadores, LLMs y agentes.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Impulsa ENTIA como infraestructura global de identidad económica, con oficinas centrales y dirección operativa en Madrid.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Desarrollo del corpus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Las fuentes aisladas se convierten en objetos persistentes mediante resolución, normalización, verificación, mantenimiento y enriquecimiento.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construye y mantiene millones de identidades económicas, publicadas en formatos aptos para consumo humano y máquina.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Desarrollo de telemetría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nueva economía de agentes exige observar no solo tráfico humano, sino también acceso máquina.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Fernando y ENTIA desarrollan infraestructura de telemetría para medir solicitudes, rutas, entrega, volumen, recurrencia y persistencia.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Más de 20 millones de solicitudes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acceso automatizado deja de ser una hipótesis y se convierte en un fenómeno medible a escala.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observa más de 20 millones de solicitudes automatizadas durante seis meses mediante la misma infraestructura de telemetría.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7-27 de julio de 2026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define una ventana forense para convertir la observación histórica en evidencia pública clasificable.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analizan 21 días naturales, con 19 días compactados y dos gaps documentados sin interpolación.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1,34 millones de solicitudes externas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ventana permite distinguir acceso bruto, tráfico interno y consumo externo.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registran 1.345.324 solicitudes máquina brutas; se excluyen 1.623 del monitor interno y se comunican 1.343.701 solicitudes externas.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Clasificación de operadores y agentes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Las familias de User-Agent muestran comportamientos distintos entre buscadores, crawlers, agentes y herramientas de análisis.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clasifica acceso, rutas, respuesta, frecuencia, volumen, contexto de red y persistencia, sin atribuir usos posteriores no demostrados.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European Machine Access Case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problema se sitúa en el marco europeo de TDM, bases de datos, derechos sobre capas propias, evidencia y contratación.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prepara y remite un expediente técnico e institucional a la Comisión Europea. La remisión no implica respaldo ni aprobación.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Lanzamiento editorial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evidencia técnica se convierte en una historia sobre la transformación del modelo editorial, económico y publicitario.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construyen nota de prensa, historia en 60 segundos, siete preguntas, metodología, gráficos, perfiles y sala de prensa.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Continuidad contractual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debate deja de ser únicamente sobre bloqueo o acceso libre y se desplaza hacia condiciones de continuidad.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ofrece una vía contractual para operadores que quieran mantener el acceso, sin exigir integración nueva ni revelación de arquitectura interna.</w:t>
            </w:r>
          </w:p>
        </w:tc>
      </w:tr>
      <w:tr>
        <w:trPr>
          <w:cantSplit w:val="1"/>
        </w:trP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Siguiente etapa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nuevo Tech Marketing debe medir cómo los agentes acceden, seleccionan, citan e influyen en las decisiones.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Fernando posiciona su trabajo en la intersección entre marketing, infraestructura de IA, telemetría y transformación del modelo del clic.</w:t>
            </w:r>
          </w:p>
        </w:tc>
      </w:tr>
    </w:tbl>
    <w:p/>
    <w:p>
      <w:pPr>
        <w:pStyle w:val="Heading2"/>
        <w:spacing w:before="240" w:after="140"/>
      </w:pPr>
      <w:r>
        <w:rPr>
          <w:rFonts w:ascii="Arial" w:hAnsi="Arial"/>
          <w:b/>
          <w:color w:val="141C28"/>
          <w:sz w:val="32"/>
        </w:rPr>
        <w:t>Lectura en una frase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no llega a la IA desde la gobernanza del dato: llega desde el marketing, el anunciante y la tecnología, y utiliza infraestructura y telemetría propias para entender cómo los agentes están sustituyendo el modelo de Internet organizado alrededor del clic.</w:t>
            </w:r>
          </w:p>
        </w:tc>
      </w:tr>
    </w:tbl>
    <w:p>
      <w:pPr>
        <w:spacing w:before="240" w:after="140"/>
      </w:pPr>
      <w:r>
        <w:rPr>
          <w:rFonts w:ascii="Arial" w:hAnsi="Arial"/>
          <w:b/>
          <w:color w:val="141C28"/>
          <w:sz w:val="32"/>
        </w:rPr>
        <w:t>Versión breve para la sala de prensa</w:t>
      </w:r>
    </w:p>
    <w:p>
      <w:pPr>
        <w:spacing w:after="120"/>
      </w:pPr>
      <w:r>
        <w:rPr>
          <w:rFonts w:ascii="Arial" w:hAnsi="Arial"/>
          <w:b w:val="0"/>
          <w:i w:val="0"/>
          <w:color w:val="141C28"/>
          <w:sz w:val="21"/>
        </w:rPr>
        <w:t>La trayectoria de Fernando Vilches conecta tres etapas del mercado digital: marketing y publicidad; tecnología e infraestructura; y, finalmente, LLMs y agentes. Desde las oficinas centrales de ENTIA en Madrid, estudia cómo la nueva capa máquina modifica el modelo editorial, publicitario y económico construido durante veinticinco años alrededor del clic. El ENTIA European Machine Access Case aporta evidencia directa de esa transición mediante una infraestructura global de identidad económica y telemetría propia de acceso máquina.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Cronología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7 · CRONOLOGÍA DOBLE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