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23360" cy="71810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ia_logo_offici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7181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  <w:spacing w:after="60"/>
        <w:jc w:val="center"/>
      </w:pPr>
      <w:r>
        <w:rPr>
          <w:rFonts w:ascii="Arial" w:hAnsi="Arial"/>
          <w:b/>
          <w:color w:val="3B82F6"/>
          <w:sz w:val="20"/>
        </w:rPr>
        <w:t>PIEZA 9 · DISCIPLINA PROBATORIA</w:t>
      </w:r>
    </w:p>
    <w:p>
      <w:pPr>
        <w:pStyle w:val="Title"/>
        <w:spacing w:after="200"/>
        <w:jc w:val="center"/>
      </w:pPr>
      <w:r>
        <w:rPr>
          <w:rFonts w:ascii="Arial" w:hAnsi="Arial"/>
          <w:b/>
          <w:color w:val="141C28"/>
          <w:sz w:val="50"/>
        </w:rPr>
        <w:t>Lo que sabemos y lo que no afirmamos</w:t>
      </w:r>
    </w:p>
    <w:p>
      <w:pPr>
        <w:pStyle w:val="Subtitle"/>
        <w:spacing w:after="360"/>
        <w:jc w:val="center"/>
      </w:pPr>
      <w:r>
        <w:rPr>
          <w:rFonts w:ascii="Arial" w:hAnsi="Arial"/>
          <w:b w:val="0"/>
          <w:color w:val="5A6473"/>
          <w:sz w:val="24"/>
        </w:rPr>
        <w:t>Una separación estricta entre evidencia observada, inferencia técnica y conclusión jurídica.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La fuerza del caso no depende de exagerar lo que sabemos, sino de demostrar con precisión lo que ocurrió.</w:t>
            </w:r>
          </w:p>
        </w:tc>
      </w:tr>
    </w:tbl>
    <w:p/>
    <w:p>
      <w:pPr>
        <w:pStyle w:val="Heading2"/>
        <w:spacing w:before="400" w:after="140"/>
      </w:pPr>
      <w:r>
        <w:rPr>
          <w:rFonts w:ascii="Arial" w:hAnsi="Arial"/>
          <w:b/>
          <w:color w:val="3B82F6"/>
          <w:sz w:val="48"/>
        </w:rPr>
        <w:t>1. La regla central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ENTIA observa directamente la capa de acceso. Puede demostrar solicitudes, entrega, frecuencia, volumen, rutas y persistencia. No utiliza esa evidencia para atribuir automáticamente usos posteriores, finalidades internas o consecuencias jurídicas que no hayan sido demostradas.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Esta disciplina protege la credibilidad del caso ante periodistas, instituciones, operadores y expertos técnicos.</w:t>
      </w:r>
    </w:p>
    <w:p>
      <w:pPr>
        <w:pStyle w:val="Heading2"/>
        <w:spacing w:before="400" w:after="140"/>
      </w:pPr>
      <w:r>
        <w:rPr>
          <w:rFonts w:ascii="Arial" w:hAnsi="Arial"/>
          <w:b/>
          <w:color w:val="3B82F6"/>
          <w:sz w:val="48"/>
        </w:rPr>
        <w:t>2. Sabemos / no afirmamos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LO QUE SABEMOS</w:t>
            </w:r>
          </w:p>
        </w:tc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LO QUE NO AFIRMAMOS</w:t>
            </w:r>
          </w:p>
        </w:tc>
      </w:tr>
      <w:tr>
        <w:tc>
          <w:tcPr>
            <w:tcW w:type="dxa" w:w="5156"/>
            <w:shd w:fill="F7FF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color w:val="243042"/>
                <w:sz w:val="18"/>
              </w:rPr>
            </w:r>
          </w:p>
          <w:p>
            <w:pPr>
              <w:pStyle w:val="ListBullet"/>
              <w:spacing w:after="60"/>
            </w:pPr>
            <w:r>
              <w:rPr>
                <w:rFonts w:ascii="Aptos" w:hAnsi="Aptos" w:eastAsia="Aptos"/>
                <w:color w:val="243042"/>
                <w:sz w:val="18"/>
              </w:rPr>
              <w:t>Que una solicitud alcanzó la infraestructura de ENTIA.</w:t>
            </w:r>
          </w:p>
          <w:p>
            <w:pPr>
              <w:pStyle w:val="ListBullet"/>
              <w:spacing w:after="60"/>
            </w:pPr>
            <w:r>
              <w:rPr>
                <w:rFonts w:ascii="Aptos" w:hAnsi="Aptos" w:eastAsia="Aptos"/>
                <w:color w:val="243042"/>
                <w:sz w:val="18"/>
              </w:rPr>
              <w:t>La fecha y hora registradas.</w:t>
            </w:r>
          </w:p>
          <w:p>
            <w:pPr>
              <w:pStyle w:val="ListBullet"/>
              <w:spacing w:after="60"/>
            </w:pPr>
            <w:r>
              <w:rPr>
                <w:rFonts w:ascii="Aptos" w:hAnsi="Aptos" w:eastAsia="Aptos"/>
                <w:color w:val="243042"/>
                <w:sz w:val="18"/>
              </w:rPr>
              <w:t>La ruta o recurso solicitado.</w:t>
            </w:r>
          </w:p>
          <w:p>
            <w:pPr>
              <w:pStyle w:val="ListBullet"/>
              <w:spacing w:after="60"/>
            </w:pPr>
            <w:r>
              <w:rPr>
                <w:rFonts w:ascii="Aptos" w:hAnsi="Aptos" w:eastAsia="Aptos"/>
                <w:color w:val="243042"/>
                <w:sz w:val="18"/>
              </w:rPr>
              <w:t>El User-Agent declarado por el cliente.</w:t>
            </w:r>
          </w:p>
          <w:p>
            <w:pPr>
              <w:pStyle w:val="ListBullet"/>
              <w:spacing w:after="60"/>
            </w:pPr>
            <w:r>
              <w:rPr>
                <w:rFonts w:ascii="Aptos" w:hAnsi="Aptos" w:eastAsia="Aptos"/>
                <w:color w:val="243042"/>
                <w:sz w:val="18"/>
              </w:rPr>
              <w:t>El código de respuesta entregado.</w:t>
            </w:r>
          </w:p>
          <w:p>
            <w:pPr>
              <w:pStyle w:val="ListBullet"/>
              <w:spacing w:after="60"/>
            </w:pPr>
            <w:r>
              <w:rPr>
                <w:rFonts w:ascii="Aptos" w:hAnsi="Aptos" w:eastAsia="Aptos"/>
                <w:color w:val="243042"/>
                <w:sz w:val="18"/>
              </w:rPr>
              <w:t>Los bytes servidos.</w:t>
            </w:r>
          </w:p>
          <w:p>
            <w:pPr>
              <w:pStyle w:val="ListBullet"/>
              <w:spacing w:after="60"/>
            </w:pPr>
            <w:r>
              <w:rPr>
                <w:rFonts w:ascii="Aptos" w:hAnsi="Aptos" w:eastAsia="Aptos"/>
                <w:color w:val="243042"/>
                <w:sz w:val="18"/>
              </w:rPr>
              <w:t>El comportamiento de caché y origen.</w:t>
            </w:r>
          </w:p>
          <w:p>
            <w:pPr>
              <w:pStyle w:val="ListBullet"/>
              <w:spacing w:after="60"/>
            </w:pPr>
            <w:r>
              <w:rPr>
                <w:rFonts w:ascii="Aptos" w:hAnsi="Aptos" w:eastAsia="Aptos"/>
                <w:color w:val="243042"/>
                <w:sz w:val="18"/>
              </w:rPr>
              <w:t>La frecuencia, recurrencia y persistencia.</w:t>
            </w:r>
          </w:p>
          <w:p>
            <w:pPr>
              <w:pStyle w:val="ListBullet"/>
              <w:spacing w:after="60"/>
            </w:pPr>
            <w:r>
              <w:rPr>
                <w:rFonts w:ascii="Aptos" w:hAnsi="Aptos" w:eastAsia="Aptos"/>
                <w:color w:val="243042"/>
                <w:sz w:val="18"/>
              </w:rPr>
              <w:t>El contexto de red disponible.</w:t>
            </w:r>
          </w:p>
          <w:p>
            <w:pPr>
              <w:pStyle w:val="ListBullet"/>
              <w:spacing w:after="60"/>
            </w:pPr>
            <w:r>
              <w:rPr>
                <w:rFonts w:ascii="Aptos" w:hAnsi="Aptos" w:eastAsia="Aptos"/>
                <w:color w:val="243042"/>
                <w:sz w:val="18"/>
              </w:rPr>
              <w:t>La asociación pública entre determinadas familias de User-Agent y sus operadores.</w:t>
            </w:r>
          </w:p>
        </w:tc>
        <w:tc>
          <w:tcPr>
            <w:tcW w:type="dxa" w:w="5156"/>
            <w:shd w:fill="FFFBF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color w:val="243042"/>
                <w:sz w:val="18"/>
              </w:rPr>
            </w:r>
          </w:p>
          <w:p>
            <w:pPr>
              <w:pStyle w:val="ListBullet"/>
              <w:spacing w:after="60"/>
            </w:pPr>
            <w:r>
              <w:rPr>
                <w:rFonts w:ascii="Aptos" w:hAnsi="Aptos" w:eastAsia="Aptos"/>
                <w:color w:val="243042"/>
                <w:sz w:val="18"/>
              </w:rPr>
              <w:t>Que el contenido fue utilizado para entrenamiento.</w:t>
            </w:r>
          </w:p>
          <w:p>
            <w:pPr>
              <w:pStyle w:val="ListBullet"/>
              <w:spacing w:after="60"/>
            </w:pPr>
            <w:r>
              <w:rPr>
                <w:rFonts w:ascii="Aptos" w:hAnsi="Aptos" w:eastAsia="Aptos"/>
                <w:color w:val="243042"/>
                <w:sz w:val="18"/>
              </w:rPr>
              <w:t>Que fue almacenado, memorizado o incorporado a embeddings.</w:t>
            </w:r>
          </w:p>
          <w:p>
            <w:pPr>
              <w:pStyle w:val="ListBullet"/>
              <w:spacing w:after="60"/>
            </w:pPr>
            <w:r>
              <w:rPr>
                <w:rFonts w:ascii="Aptos" w:hAnsi="Aptos" w:eastAsia="Aptos"/>
                <w:color w:val="243042"/>
                <w:sz w:val="18"/>
              </w:rPr>
              <w:t>Que se utilizó en RAG, grounding o recuperación interna.</w:t>
            </w:r>
          </w:p>
          <w:p>
            <w:pPr>
              <w:pStyle w:val="ListBullet"/>
              <w:spacing w:after="60"/>
            </w:pPr>
            <w:r>
              <w:rPr>
                <w:rFonts w:ascii="Aptos" w:hAnsi="Aptos" w:eastAsia="Aptos"/>
                <w:color w:val="243042"/>
                <w:sz w:val="18"/>
              </w:rPr>
              <w:t>Que se integró en un producto o modelo concreto.</w:t>
            </w:r>
          </w:p>
          <w:p>
            <w:pPr>
              <w:pStyle w:val="ListBullet"/>
              <w:spacing w:after="60"/>
            </w:pPr>
            <w:r>
              <w:rPr>
                <w:rFonts w:ascii="Aptos" w:hAnsi="Aptos" w:eastAsia="Aptos"/>
                <w:color w:val="243042"/>
                <w:sz w:val="18"/>
              </w:rPr>
              <w:t>Que influyó en una respuesta específica sin experimento adicional.</w:t>
            </w:r>
          </w:p>
          <w:p>
            <w:pPr>
              <w:pStyle w:val="ListBullet"/>
              <w:spacing w:after="60"/>
            </w:pPr>
            <w:r>
              <w:rPr>
                <w:rFonts w:ascii="Aptos" w:hAnsi="Aptos" w:eastAsia="Aptos"/>
                <w:color w:val="243042"/>
                <w:sz w:val="18"/>
              </w:rPr>
              <w:t>Que cada solicitud constituye una infracción.</w:t>
            </w:r>
          </w:p>
          <w:p>
            <w:pPr>
              <w:pStyle w:val="ListBullet"/>
              <w:spacing w:after="60"/>
            </w:pPr>
            <w:r>
              <w:rPr>
                <w:rFonts w:ascii="Aptos" w:hAnsi="Aptos" w:eastAsia="Aptos"/>
                <w:color w:val="243042"/>
                <w:sz w:val="18"/>
              </w:rPr>
              <w:t>Que cada acceso genera automáticamente una deuda.</w:t>
            </w:r>
          </w:p>
          <w:p>
            <w:pPr>
              <w:pStyle w:val="ListBullet"/>
              <w:spacing w:after="60"/>
            </w:pPr>
            <w:r>
              <w:rPr>
                <w:rFonts w:ascii="Aptos" w:hAnsi="Aptos" w:eastAsia="Aptos"/>
                <w:color w:val="243042"/>
                <w:sz w:val="18"/>
              </w:rPr>
              <w:t>Que existe un daño económico por solicitud.</w:t>
            </w:r>
          </w:p>
          <w:p>
            <w:pPr>
              <w:pStyle w:val="ListBullet"/>
              <w:spacing w:after="60"/>
            </w:pPr>
            <w:r>
              <w:rPr>
                <w:rFonts w:ascii="Aptos" w:hAnsi="Aptos" w:eastAsia="Aptos"/>
                <w:color w:val="243042"/>
                <w:sz w:val="18"/>
              </w:rPr>
              <w:t>Que el User-Agent identifica por sí solo a la entidad jurídica responsable.</w:t>
            </w:r>
          </w:p>
          <w:p>
            <w:pPr>
              <w:pStyle w:val="ListBullet"/>
              <w:spacing w:after="60"/>
            </w:pPr>
            <w:r>
              <w:rPr>
                <w:rFonts w:ascii="Aptos" w:hAnsi="Aptos" w:eastAsia="Aptos"/>
                <w:color w:val="243042"/>
                <w:sz w:val="18"/>
              </w:rPr>
              <w:t>Que la Comisión Europea ha respaldado, aprobado o adoptado el caso.</w:t>
            </w:r>
          </w:p>
        </w:tc>
      </w:tr>
    </w:tbl>
    <w:p/>
    <w:p>
      <w:pPr>
        <w:pStyle w:val="Heading2"/>
        <w:pageBreakBefore/>
        <w:spacing w:before="400" w:after="140"/>
      </w:pPr>
      <w:r>
        <w:rPr>
          <w:rFonts w:ascii="Arial" w:hAnsi="Arial"/>
          <w:b/>
          <w:color w:val="3B82F6"/>
          <w:sz w:val="48"/>
        </w:rPr>
        <w:t>3. Ejemplos de formulación correcta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Tipo</w:t>
            </w:r>
          </w:p>
        </w:tc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Formulación</w:t>
            </w:r>
          </w:p>
        </w:tc>
      </w:tr>
      <w:tr>
        <w:tc>
          <w:tcPr>
            <w:tcW w:type="dxa" w:w="5156"/>
            <w:shd w:fill="DCFCE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Correcto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GPTBot declaró ese User-Agent en 115.817 solicitudes observadas durante la ventana forense.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Incorrecto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OpenAI utilizó 115.817 páginas para entrenar ChatGPT.</w:t>
            </w:r>
          </w:p>
        </w:tc>
      </w:tr>
      <w:tr>
        <w:tc>
          <w:tcPr>
            <w:tcW w:type="dxa" w:w="5156"/>
            <w:shd w:fill="DCFCE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Correcto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La familia ClaudeBot aparece asociada públicamente a Anthropic.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Incorrecto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Anthropic es jurídicamente responsable de cada solicitud etiquetada como ClaudeBot.</w:t>
            </w:r>
          </w:p>
        </w:tc>
      </w:tr>
      <w:tr>
        <w:tc>
          <w:tcPr>
            <w:tcW w:type="dxa" w:w="5156"/>
            <w:shd w:fill="DCFCE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Correcto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La telemetría demuestra acceso, entrega y persistencia.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Incorrecto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La telemetría demuestra que el contenido fue incorporado al modelo.</w:t>
            </w:r>
          </w:p>
        </w:tc>
      </w:tr>
      <w:tr>
        <w:tc>
          <w:tcPr>
            <w:tcW w:type="dxa" w:w="5156"/>
            <w:shd w:fill="DCFCE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Correcto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ENTIA ha remitido un expediente a la Comisión Europea.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Incorrecto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La Comisión Europea respalda el caso de ENTIA.</w:t>
            </w:r>
          </w:p>
        </w:tc>
      </w:tr>
      <w:tr>
        <w:tc>
          <w:tcPr>
            <w:tcW w:type="dxa" w:w="5156"/>
            <w:shd w:fill="DCFCE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Correcto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El acceso no licenciado podrá limitarse conforme a condiciones publicadas.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Incorrecto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Cada solicitud genera automáticamente una deuda exigible.</w:t>
            </w:r>
          </w:p>
        </w:tc>
      </w:tr>
    </w:tbl>
    <w:p/>
    <w:p>
      <w:pPr>
        <w:pStyle w:val="Heading2"/>
        <w:spacing w:before="400" w:after="140"/>
      </w:pPr>
      <w:r>
        <w:rPr>
          <w:rFonts w:ascii="Arial" w:hAnsi="Arial"/>
          <w:b/>
          <w:color w:val="3B82F6"/>
          <w:sz w:val="48"/>
        </w:rPr>
        <w:t>4. El User-Agent no es una identidad jurídica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Un User-Agent es una cadena declarada por el cliente. Puede ser auténtica, incompleta, genérica, modificada o falsificada. Por eso ENTIA distingue entre identificación declarada y atribución validada.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Identificación declarada: nombre contenido en el User-Agent.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Asociación pública: documentación del operador que vincula esa familia de bot con una compañía.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Atribución técnica reforzada: ASN, rangos de red, reverse DNS y consistencia de comportamiento.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Atribución jurídica: requiere análisis adicional y no se presume únicamente desde la cadena declarada.</w:t>
      </w:r>
    </w:p>
    <w:p>
      <w:pPr>
        <w:pStyle w:val="Heading2"/>
        <w:spacing w:before="400" w:after="140"/>
      </w:pPr>
      <w:r>
        <w:rPr>
          <w:rFonts w:ascii="Arial" w:hAnsi="Arial"/>
          <w:b/>
          <w:color w:val="3B82F6"/>
          <w:sz w:val="48"/>
        </w:rPr>
        <w:t>5. Acceso no equivale a uso posterior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Una solicitud y una entrega prueban que un recurso fue accedido. No revelan por sí solas qué proceso interno se ejecutó después.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Acceso observado no equivale a entrenamiento demostrado. Citación observada no equivale a influencia total. Ausencia de cita no equivale a ausencia de recuperación.</w:t>
            </w:r>
          </w:p>
        </w:tc>
      </w:tr>
    </w:tbl>
    <w:p/>
    <w:p>
      <w:pPr>
        <w:pStyle w:val="Heading2"/>
        <w:spacing w:before="400" w:after="140"/>
      </w:pPr>
      <w:r>
        <w:rPr>
          <w:rFonts w:ascii="Arial" w:hAnsi="Arial"/>
          <w:b/>
          <w:color w:val="3B82F6"/>
          <w:sz w:val="48"/>
        </w:rPr>
        <w:t>6. Las cinco capas y su lenguaje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Capa</w:t>
            </w:r>
          </w:p>
        </w:tc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Lenguaje permitido</w:t>
            </w:r>
          </w:p>
        </w:tc>
      </w:tr>
      <w:tr>
        <w:tc>
          <w:tcPr>
            <w:tcW w:type="dxa" w:w="515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Acceso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Podemos afirmar que la URL fue solicitada y entregada.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Elegibilidad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No podemos observar directamente si el sistema consideró elegible la fuente.</w:t>
            </w:r>
          </w:p>
        </w:tc>
      </w:tr>
      <w:tr>
        <w:tc>
          <w:tcPr>
            <w:tcW w:type="dxa" w:w="515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Recuperación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Solo puede inferirse con experimentos, ventanas temporales y señales adicionales.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Citación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Puede observarse cuando una interfaz muestra o enlaza la fuente.</w:t>
            </w:r>
          </w:p>
        </w:tc>
      </w:tr>
      <w:tr>
        <w:tc>
          <w:tcPr>
            <w:tcW w:type="dxa" w:w="515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Influencia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Requiere demostrar que información distintiva de una fuente alteró la respuesta.</w:t>
            </w:r>
          </w:p>
        </w:tc>
      </w:tr>
    </w:tbl>
    <w:p/>
    <w:p>
      <w:pPr>
        <w:pStyle w:val="Heading2"/>
        <w:spacing w:before="400" w:after="140"/>
      </w:pPr>
      <w:r>
        <w:rPr>
          <w:rFonts w:ascii="Arial" w:hAnsi="Arial"/>
          <w:b/>
          <w:color w:val="3B82F6"/>
          <w:sz w:val="48"/>
        </w:rPr>
        <w:t>7. Lo que no sabemos todavía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Qué parte del contenido, si alguna, fue almacenada de forma persistente por terceros.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Qué solicitudes respondieron a tareas humanas concretas.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Qué accesos fueron para indexación, búsqueda, entrenamiento, seguridad o evaluación.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Qué contenido terminó citado o utilizado en una respuesta.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Qué mecanismos internos de caché, intermediación o routing fueron utilizados.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Qué impacto económico produjo cada acceso.</w:t>
      </w:r>
    </w:p>
    <w:p>
      <w:pPr>
        <w:pStyle w:val="Heading2"/>
        <w:spacing w:before="400" w:after="140"/>
      </w:pPr>
      <w:r>
        <w:rPr>
          <w:rFonts w:ascii="Arial" w:hAnsi="Arial"/>
          <w:b/>
          <w:color w:val="3B82F6"/>
          <w:sz w:val="48"/>
        </w:rPr>
        <w:t>8. Lo que sí puede investigarse después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Experimentos pre-registrados de consulta y acceso sincronizado.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Comparación entre dominio original y ENTIA Home.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Marcadores verdaderos y diferenciables por fuente.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Análisis de cita e influencia en respuestas.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Validación de red y atribución técnica reforzada.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Comparación entre adquisición persistente y recuperación episódica.</w:t>
      </w:r>
    </w:p>
    <w:p>
      <w:pPr>
        <w:pStyle w:val="Heading2"/>
        <w:spacing w:before="400" w:after="140"/>
      </w:pPr>
      <w:r>
        <w:rPr>
          <w:rFonts w:ascii="Arial" w:hAnsi="Arial"/>
          <w:b/>
          <w:color w:val="3B82F6"/>
          <w:sz w:val="48"/>
        </w:rPr>
        <w:t>9. Regla para periodistas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Si una afirmación no puede sostenerse con el registro, la metodología o una fuente pública verificable, no debe aparecer en el titular ni en la cita.</w:t>
            </w:r>
          </w:p>
        </w:tc>
      </w:tr>
    </w:tbl>
    <w:p/>
    <w:p>
      <w:pPr>
        <w:pStyle w:val="Heading2"/>
        <w:spacing w:before="400" w:after="140"/>
      </w:pPr>
      <w:r>
        <w:rPr>
          <w:rFonts w:ascii="Arial" w:hAnsi="Arial"/>
          <w:b/>
          <w:color w:val="3B82F6"/>
          <w:sz w:val="48"/>
        </w:rPr>
        <w:t>10. Formulaciones aprobadas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La telemetría demuestra acceso, solicitud, ruta, entrega, volumen y persistencia.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El User-Agent es una declaración; la atribución definitiva requiere validación adicional.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ENTIA no afirma usos posteriores que no hayan sido demostrados.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La remisión a la Comisión Europea no implica respaldo ni aprobación.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ENTIA quiere que el acceso continuado sea remunerado, pero no afirma una deuda automática por cada solicitud.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La licencia formaliza la continuidad de un acceso ya existente y medido.</w:t>
      </w:r>
    </w:p>
    <w:p>
      <w:pPr>
        <w:pStyle w:val="Heading2"/>
        <w:spacing w:before="400" w:after="140"/>
      </w:pPr>
      <w:r>
        <w:rPr>
          <w:rFonts w:ascii="Arial" w:hAnsi="Arial"/>
          <w:b/>
          <w:color w:val="3B82F6"/>
          <w:sz w:val="48"/>
        </w:rPr>
        <w:t>11. Principio de cierre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La precisión no debilita el caso. Lo convierte en un caso defendible.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936" w:left="1123" w:header="360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475569"/>
        <w:sz w:val="16"/>
      </w:rPr>
      <w:t xml:space="preserve">ENTIA · entia.systems/press · fv@entia.systems   | 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A6473"/>
        <w:sz w:val="16"/>
      </w:rPr>
      <w:t>ENTIA European Machine Access Case · Disciplina probatoria</w:t>
    </w:r>
  </w:p>
  <w:tbl>
    <w:tblPr>
      <w:tblW w:type="auto" w:w="0"/>
      <w:jc w:val="center"/>
      <w:tblLayout w:type="fixed"/>
      <w:tblLook w:firstColumn="1" w:firstRow="1" w:lastColumn="0" w:lastRow="0" w:noHBand="0" w:noVBand="1" w:val="04A0"/>
      <w:bottom w:val="single" w:sz="12" w:color="2563EB"/>
      <w:bottom w:val="single" w:sz="12" w:color="2563EB"/>
      <w:bottom w:val="single" w:sz="12" w:color="2563EB"/>
    </w:tblPr>
    <w:tblGrid>
      <w:gridCol w:w="1584"/>
      <w:gridCol w:w="8064"/>
    </w:tblGrid>
    <w:tr>
      <w:tc>
        <w:tcPr>
          <w:tcW w:type="dxa" w:w="4824"/>
          <w:tcMar>
            <w:top w:w="0" w:type="dxa"/>
            <w:start w:w="0" w:type="dxa"/>
            <w:bottom w:w="70" w:type="dxa"/>
            <w:end w:w="0" w:type="dxa"/>
          </w:tcMar>
        </w:tcPr>
        <w:p>
          <w:r/>
          <w:r>
            <w:rPr>
              <w:rFonts w:ascii="Aptos Display" w:hAnsi="Aptos Display" w:eastAsia="Aptos Display"/>
              <w:b/>
              <w:color w:val="07101D"/>
              <w:sz w:val="24"/>
            </w:rPr>
            <w:t>ENTIA</w:t>
          </w:r>
        </w:p>
      </w:tc>
      <w:tc>
        <w:tcPr>
          <w:tcW w:type="dxa" w:w="4824"/>
          <w:tcMar>
            <w:top w:w="0" w:type="dxa"/>
            <w:start w:w="0" w:type="dxa"/>
            <w:bottom w:w="70" w:type="dxa"/>
            <w:end w:w="0" w:type="dxa"/>
          </w:tcMar>
        </w:tcPr>
        <w:p>
          <w:pPr>
            <w:jc w:val="right"/>
          </w:pPr>
          <w:r/>
          <w:r>
            <w:rPr>
              <w:rFonts w:ascii="Aptos" w:hAnsi="Aptos" w:eastAsia="Aptos"/>
              <w:b/>
              <w:color w:val="2563EB"/>
              <w:sz w:val="16"/>
            </w:rPr>
            <w:t>EUROPEAN MACHINE ACCESS CASE</w:t>
            <w:br/>
            <w:t>PRESS MATERIAL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Aptos" w:hAnsi="Aptos" w:eastAsia="Aptos"/>
      <w:color w:val="24304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07101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07101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80" w:after="14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2563E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ptos Display" w:hAnsi="Aptos Display" w:eastAsia="Aptos Display"/>
      <w:b/>
      <w:color w:val="07101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40"/>
    </w:pPr>
    <w:rPr>
      <w:rFonts w:asciiTheme="majorHAnsi" w:eastAsiaTheme="majorEastAsia" w:hAnsiTheme="majorHAnsi" w:cstheme="majorBidi" w:ascii="Aptos Display" w:hAnsi="Aptos Display" w:eastAsia="Aptos Display"/>
      <w:b w:val="0"/>
      <w:i/>
      <w:iCs/>
      <w:color w:val="475569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PIEZA 9 · DISCIPLINA PROBATORIA</dc:title>
  <dc:subject>ENTIA European Machine Access Case press material</dc:subject>
  <dc:creator>ENTIA / PrecisionAI Marketing OÜ</dc:creator>
  <cp:keywords>ENTIA, EMAC, machine access, press room</cp:keywords>
  <dc:description>Official press-room edition. Source: entia.systems/press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