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023360" cy="718106"/>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4023360" cy="718106"/>
                    </a:xfrm>
                    <a:prstGeom prst="rect"/>
                  </pic:spPr>
                </pic:pic>
              </a:graphicData>
            </a:graphic>
          </wp:inline>
        </w:drawing>
      </w:r>
    </w:p>
    <w:p>
      <w:pPr>
        <w:pStyle w:val="Heading3"/>
        <w:spacing w:after="60"/>
        <w:jc w:val="center"/>
      </w:pPr>
      <w:r>
        <w:rPr>
          <w:rFonts w:ascii="Arial" w:hAnsi="Arial"/>
          <w:b/>
          <w:i w:val="0"/>
          <w:color w:val="3B82F6"/>
          <w:sz w:val="20"/>
        </w:rPr>
        <w:t>PIEZA 10 · CONTEXTO REGULATORIO EUROPEO</w:t>
      </w:r>
    </w:p>
    <w:p>
      <w:pPr>
        <w:pStyle w:val="Title"/>
        <w:spacing w:after="200"/>
        <w:jc w:val="center"/>
      </w:pPr>
      <w:r>
        <w:rPr>
          <w:rFonts w:ascii="Arial" w:hAnsi="Arial"/>
          <w:b/>
          <w:i w:val="0"/>
          <w:color w:val="141C28"/>
          <w:sz w:val="50"/>
        </w:rPr>
        <w:t>Por qué EMAC es un caso europeo</w:t>
      </w:r>
    </w:p>
    <w:p>
      <w:pPr>
        <w:pStyle w:val="Subtitle"/>
        <w:spacing w:after="360"/>
        <w:jc w:val="center"/>
      </w:pPr>
      <w:r>
        <w:rPr>
          <w:rFonts w:ascii="Arial" w:hAnsi="Arial"/>
          <w:b w:val="0"/>
          <w:i w:val="0"/>
          <w:color w:val="5A6473"/>
          <w:sz w:val="24"/>
        </w:rPr>
        <w:t>El acceso máquina ya existe. Europa ya dispone de derechos, reservas, licencias y obligaciones de transparencia que deben analizarse de forma conjunta.</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ENTIA no pide a Europa que invente un nuevo derecho. Aporta un caso documentado para examinar cómo se aplican en conjunto los derechos y mecanismos que Europa ya ha establecido.</w:t>
            </w:r>
          </w:p>
        </w:tc>
      </w:tr>
    </w:tbl>
    <w:p/>
    <w:p>
      <w:pPr>
        <w:pStyle w:val="Heading2"/>
        <w:spacing w:before="400" w:after="140"/>
      </w:pPr>
      <w:r>
        <w:rPr>
          <w:rFonts w:ascii="Arial" w:hAnsi="Arial"/>
          <w:b/>
          <w:color w:val="3B82F6"/>
          <w:sz w:val="48"/>
        </w:rPr>
        <w:t>1. Qué significa “caso europeo”</w:t>
      </w:r>
    </w:p>
    <w:p>
      <w:pPr>
        <w:spacing w:after="120"/>
      </w:pPr>
      <w:r>
        <w:rPr>
          <w:rFonts w:ascii="Arial" w:hAnsi="Arial"/>
          <w:b w:val="0"/>
          <w:i w:val="0"/>
          <w:color w:val="141C28"/>
          <w:sz w:val="20"/>
        </w:rPr>
        <w:t>ENTIA es una infraestructura global, con oficinas centrales y dirección operativa en Madrid. EMAC es europeo por el marco institucional, jurídico y regulatorio desde el que se presenta y analiza el acceso máquina persistente a un corpus mantenido de identidad económica.</w:t>
      </w:r>
    </w:p>
    <w:p>
      <w:pPr>
        <w:spacing w:after="120"/>
      </w:pPr>
      <w:r>
        <w:rPr>
          <w:rFonts w:ascii="Arial" w:hAnsi="Arial"/>
          <w:b w:val="0"/>
          <w:i w:val="0"/>
          <w:color w:val="141C28"/>
          <w:sz w:val="20"/>
        </w:rPr>
        <w:t>La denominación no significa que la infraestructura, los datos o los operadores observados sean exclusivamente europeos. Significa que el caso se formula desde Europa y se somete a sus mecanismos de propiedad intelectual, bases de datos, inteligencia artificial, contratación y supervisión.</w:t>
      </w:r>
    </w:p>
    <w:p>
      <w:pPr>
        <w:pStyle w:val="Heading2"/>
        <w:spacing w:before="400" w:after="140"/>
      </w:pPr>
      <w:r>
        <w:rPr>
          <w:rFonts w:ascii="Arial" w:hAnsi="Arial"/>
          <w:b/>
          <w:color w:val="3B82F6"/>
          <w:sz w:val="48"/>
        </w:rPr>
        <w:t>2. La minería de textos y datos no es una autorización universal</w:t>
      </w:r>
    </w:p>
    <w:p>
      <w:pPr>
        <w:spacing w:after="120"/>
      </w:pPr>
      <w:r>
        <w:rPr>
          <w:rFonts w:ascii="Arial" w:hAnsi="Arial"/>
          <w:b w:val="0"/>
          <w:i w:val="0"/>
          <w:color w:val="141C28"/>
          <w:sz w:val="20"/>
        </w:rPr>
        <w:t>La Directiva (UE) 2019/790 estableció una excepción o limitación para reproducciones y extracciones con fines de minería de textos y datos cuando existe acceso lícito. En su artículo 4, la excepción general queda condicionada a que el titular no haya reservado expresamente esos usos de manera adecuada; para contenidos disponibles en línea, la Directiva menciona medios legibles por máquina. [1]</w:t>
      </w:r>
    </w:p>
    <w:p>
      <w:pPr>
        <w:spacing w:after="120"/>
      </w:pPr>
      <w:r>
        <w:rPr>
          <w:rFonts w:ascii="Arial" w:hAnsi="Arial"/>
          <w:b w:val="0"/>
          <w:i w:val="0"/>
          <w:color w:val="141C28"/>
          <w:sz w:val="20"/>
        </w:rPr>
        <w:t>Esto no significa que todo crawling quede automáticamente prohibido cuando existe una reserva, ni que toda solicitud sea por sí sola una infracción. Significa que la reserva de derechos es jurídicamente relevante y que el análisis debe atender al tipo de contenido, el derecho aplicable, la finalidad, el acceso lícito y la forma en que se expresó la reserva.</w:t>
      </w:r>
    </w:p>
    <w:p>
      <w:pPr>
        <w:pStyle w:val="Heading2"/>
        <w:spacing w:before="400" w:after="140"/>
      </w:pPr>
      <w:r>
        <w:rPr>
          <w:rFonts w:ascii="Arial" w:hAnsi="Arial"/>
          <w:b/>
          <w:color w:val="3B82F6"/>
          <w:sz w:val="48"/>
        </w:rPr>
        <w:t>3. Protección de bases de datos</w:t>
      </w:r>
    </w:p>
    <w:p>
      <w:pPr>
        <w:spacing w:after="120"/>
      </w:pPr>
      <w:r>
        <w:rPr>
          <w:rFonts w:ascii="Arial" w:hAnsi="Arial"/>
          <w:b w:val="0"/>
          <w:i w:val="0"/>
          <w:color w:val="141C28"/>
          <w:sz w:val="20"/>
        </w:rPr>
        <w:t>La Directiva 96/9/CE reconoce un derecho sui generis al fabricante de una base de datos cuando existe una inversión sustancial en la obtención, verificación o presentación de su contenido. Ese derecho puede impedir la extracción o reutilización de la totalidad o de una parte sustancial y también contempla la extracción o reutilización repetida y sistemática de partes no sustanciales cuando perjudica la explotación normal o los intereses legítimos del fabricante. [2]</w:t>
      </w:r>
    </w:p>
    <w:p>
      <w:pPr>
        <w:spacing w:after="120"/>
      </w:pPr>
      <w:r>
        <w:rPr>
          <w:rFonts w:ascii="Arial" w:hAnsi="Arial"/>
          <w:b w:val="0"/>
          <w:i w:val="0"/>
          <w:color w:val="141C28"/>
          <w:sz w:val="20"/>
        </w:rPr>
        <w:t>La relevancia para ENTIA no descansa en afirmar que cada respuesta individual infringe ese derecho. Descansa en documentar un patrón: volumen, recurrencia, cobertura, entrega y persistencia sobre un corpus cuya resolución, verificación, cruce, enriquecimiento y mantenimiento requieren infraestructura e inversión continuada.</w:t>
      </w:r>
    </w:p>
    <w:p>
      <w:pPr>
        <w:pStyle w:val="Heading2"/>
        <w:spacing w:before="400" w:after="140"/>
      </w:pPr>
      <w:r>
        <w:rPr>
          <w:rFonts w:ascii="Arial" w:hAnsi="Arial"/>
          <w:b/>
          <w:color w:val="3B82F6"/>
          <w:sz w:val="48"/>
        </w:rPr>
        <w:t>4. El AI Act conecta IA general, copyright y transparencia</w:t>
      </w:r>
    </w:p>
    <w:p>
      <w:pPr>
        <w:spacing w:after="120"/>
      </w:pPr>
      <w:r>
        <w:rPr>
          <w:rFonts w:ascii="Arial" w:hAnsi="Arial"/>
          <w:b w:val="0"/>
          <w:i w:val="0"/>
          <w:color w:val="141C28"/>
          <w:sz w:val="20"/>
        </w:rPr>
        <w:t>El Reglamento de Inteligencia Artificial exige a los proveedores de modelos de IA de uso general establecer una política para cumplir el Derecho de la Unión en materia de copyright y derechos conexos, incluida la identificación y observancia de las reservas de derechos expresadas conforme al artículo 4.3 de la Directiva 2019/790. También exige publicar un resumen suficientemente detallado del contenido utilizado para entrenar el modelo. [3]</w:t>
      </w:r>
    </w:p>
    <w:p>
      <w:pPr>
        <w:spacing w:after="120"/>
      </w:pPr>
      <w:r>
        <w:rPr>
          <w:rFonts w:ascii="Arial" w:hAnsi="Arial"/>
          <w:b w:val="0"/>
          <w:i w:val="0"/>
          <w:color w:val="141C28"/>
          <w:sz w:val="20"/>
        </w:rPr>
        <w:t>La Comisión publicó en julio de 2025 una plantilla obligatoria para esos resúmenes. La finalidad declarada es crear una base mínima común de transparencia y facilitar que titulares y otras partes con interés legítimo puedan ejercer sus derechos. La supervisión de estas obligaciones por la Oficina de IA entra en fase de enforcement desde el 2 de agosto de 2026 para los modelos sujetos al régimen aplicable. [4]</w:t>
      </w:r>
    </w:p>
    <w:p>
      <w:pPr>
        <w:pStyle w:val="Heading2"/>
        <w:spacing w:before="400" w:after="140"/>
      </w:pPr>
      <w:r>
        <w:rPr>
          <w:rFonts w:ascii="Arial" w:hAnsi="Arial"/>
          <w:b/>
          <w:color w:val="3B82F6"/>
          <w:sz w:val="48"/>
        </w:rPr>
        <w:t>5. Código de buenas prácticas para modelos de propósito general</w:t>
      </w:r>
    </w:p>
    <w:p>
      <w:pPr>
        <w:spacing w:after="120"/>
      </w:pPr>
      <w:r>
        <w:rPr>
          <w:rFonts w:ascii="Arial" w:hAnsi="Arial"/>
          <w:b w:val="0"/>
          <w:i w:val="0"/>
          <w:color w:val="141C28"/>
          <w:sz w:val="20"/>
        </w:rPr>
        <w:t>El Código de Buenas Prácticas para IA de propósito general es un instrumento voluntario para ayudar a demostrar cumplimiento con las obligaciones del AI Act en transparencia, copyright, seguridad y protección. La Comisión y el AI Board lo confirmaron como herramienta adecuada de cumplimiento, sin convertirlo en la única vía posible. [5]</w:t>
      </w:r>
    </w:p>
    <w:p>
      <w:pPr>
        <w:spacing w:after="120"/>
      </w:pPr>
      <w:r>
        <w:rPr>
          <w:rFonts w:ascii="Arial" w:hAnsi="Arial"/>
          <w:b w:val="0"/>
          <w:i w:val="0"/>
          <w:color w:val="141C28"/>
          <w:sz w:val="20"/>
        </w:rPr>
        <w:t>Para EMAC, su importancia es conceptual: Europa ya está exigiendo políticas internas de copyright, mecanismos para respetar reservas y mayor transparencia sobre las fuentes de entrenamiento. La telemetría de ENTIA aporta evidencia externa de la capa de acceso, que complementa —pero no sustituye— la documentación interna exigida a los proveedores.</w:t>
      </w:r>
    </w:p>
    <w:p>
      <w:pPr>
        <w:pStyle w:val="Heading2"/>
        <w:spacing w:before="400" w:after="140"/>
      </w:pPr>
      <w:r>
        <w:rPr>
          <w:rFonts w:ascii="Arial" w:hAnsi="Arial"/>
          <w:b/>
          <w:color w:val="3B82F6"/>
          <w:sz w:val="48"/>
        </w:rPr>
        <w:t>6. Cómo encaja ENTIA</w:t>
      </w:r>
    </w:p>
    <w:tbl>
      <w:tblPr>
        <w:tblStyle w:val="TableGrid"/>
        <w:tblW w:type="auto" w:w="0"/>
        <w:jc w:val="center"/>
        <w:tblLayout w:type="autofit"/>
        <w:tblLook w:firstColumn="1" w:firstRow="1" w:lastColumn="0" w:lastRow="0" w:noHBand="0" w:noVBand="1" w:val="04A0"/>
      </w:tblPr>
      <w:tblGrid>
        <w:gridCol w:w="5156"/>
        <w:gridCol w:w="5156"/>
      </w:tblGrid>
      <w:tr>
        <w:tc>
          <w:tcPr>
            <w:tcW w:type="dxa" w:w="5156"/>
            <w:shd w:fill="07101D"/>
            <w:vAlign w:val="center"/>
            <w:tcMar>
              <w:top w:w="100" w:type="dxa"/>
              <w:start w:w="120" w:type="dxa"/>
              <w:bottom w:w="100" w:type="dxa"/>
              <w:end w:w="120" w:type="dxa"/>
            </w:tcMar>
          </w:tcPr>
          <w:p>
            <w:r>
              <w:rPr>
                <w:rFonts w:ascii="Aptos" w:hAnsi="Aptos" w:eastAsia="Aptos"/>
                <w:b/>
                <w:color w:val="FFFFFF"/>
                <w:sz w:val="18"/>
              </w:rPr>
              <w:t>Mecanismo europeo</w:t>
            </w:r>
          </w:p>
        </w:tc>
        <w:tc>
          <w:tcPr>
            <w:tcW w:type="dxa" w:w="5156"/>
            <w:shd w:fill="07101D"/>
            <w:vAlign w:val="center"/>
            <w:tcMar>
              <w:top w:w="100" w:type="dxa"/>
              <w:start w:w="120" w:type="dxa"/>
              <w:bottom w:w="100" w:type="dxa"/>
              <w:end w:w="120" w:type="dxa"/>
            </w:tcMar>
          </w:tcPr>
          <w:p>
            <w:r>
              <w:rPr>
                <w:rFonts w:ascii="Aptos" w:hAnsi="Aptos" w:eastAsia="Aptos"/>
                <w:b/>
                <w:color w:val="FFFFFF"/>
                <w:sz w:val="18"/>
              </w:rPr>
              <w:t>Aplicación en EMAC</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Derechos y reservas</w:t>
            </w:r>
          </w:p>
        </w:tc>
        <w:tc>
          <w:tcPr>
            <w:tcW w:type="dxa" w:w="5156"/>
            <w:vAlign w:val="center"/>
            <w:tcMar>
              <w:top w:w="100" w:type="dxa"/>
              <w:start w:w="120" w:type="dxa"/>
              <w:bottom w:w="100" w:type="dxa"/>
              <w:end w:w="120" w:type="dxa"/>
            </w:tcMar>
          </w:tcPr>
          <w:p>
            <w:r>
              <w:rPr>
                <w:rFonts w:ascii="Aptos" w:hAnsi="Aptos" w:eastAsia="Aptos"/>
                <w:b w:val="0"/>
                <w:color w:val="243042"/>
                <w:sz w:val="18"/>
              </w:rPr>
              <w:t>ENTIA publica condiciones y reservas para usos máquina y conserva evidencia de su expresión.</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Acceso lícito y continuidad</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La propuesta comercial no vende una integración nueva: formaliza mediante licencia la continuidad autorizada de un acceso ya observado.</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Base de datos mantenida</w:t>
            </w:r>
          </w:p>
        </w:tc>
        <w:tc>
          <w:tcPr>
            <w:tcW w:type="dxa" w:w="5156"/>
            <w:vAlign w:val="center"/>
            <w:tcMar>
              <w:top w:w="100" w:type="dxa"/>
              <w:start w:w="120" w:type="dxa"/>
              <w:bottom w:w="100" w:type="dxa"/>
              <w:end w:w="120" w:type="dxa"/>
            </w:tcMar>
          </w:tcPr>
          <w:p>
            <w:r>
              <w:rPr>
                <w:rFonts w:ascii="Aptos" w:hAnsi="Aptos" w:eastAsia="Aptos"/>
                <w:b w:val="0"/>
                <w:color w:val="243042"/>
                <w:sz w:val="18"/>
              </w:rPr>
              <w:t>ENTIA documenta inversión en resolución, verificación, enriquecimiento, presentación y mantenimiento de identidades económicas.</w:t>
            </w:r>
          </w:p>
        </w:tc>
      </w:tr>
      <w:tr>
        <w:tc>
          <w:tcPr>
            <w:tcW w:type="dxa" w:w="5156"/>
            <w:shd w:fill="F1F5F9"/>
            <w:vAlign w:val="center"/>
            <w:tcMar>
              <w:top w:w="100" w:type="dxa"/>
              <w:start w:w="120" w:type="dxa"/>
              <w:bottom w:w="100" w:type="dxa"/>
              <w:end w:w="120" w:type="dxa"/>
            </w:tcMar>
          </w:tcPr>
          <w:p>
            <w:r>
              <w:rPr>
                <w:rFonts w:ascii="Aptos" w:hAnsi="Aptos" w:eastAsia="Aptos"/>
                <w:b/>
                <w:color w:val="243042"/>
                <w:sz w:val="18"/>
              </w:rPr>
              <w:t>Transparencia</w:t>
            </w:r>
          </w:p>
        </w:tc>
        <w:tc>
          <w:tcPr>
            <w:tcW w:type="dxa" w:w="5156"/>
            <w:vAlign w:val="center"/>
            <w:tcMar>
              <w:top w:w="100" w:type="dxa"/>
              <w:start w:w="120" w:type="dxa"/>
              <w:bottom w:w="100" w:type="dxa"/>
              <w:end w:w="120" w:type="dxa"/>
            </w:tcMar>
            <w:shd w:fill="F1F5F9"/>
          </w:tcPr>
          <w:p>
            <w:r>
              <w:rPr>
                <w:rFonts w:ascii="Aptos" w:hAnsi="Aptos" w:eastAsia="Aptos"/>
                <w:b w:val="0"/>
                <w:color w:val="243042"/>
                <w:sz w:val="18"/>
              </w:rPr>
              <w:t>La telemetría permite demostrar qué se solicitó y qué se entregó, manteniendo separadas las capas de acceso, recuperación, citación e influencia.</w:t>
            </w:r>
          </w:p>
        </w:tc>
      </w:tr>
      <w:tr>
        <w:tc>
          <w:tcPr>
            <w:tcW w:type="dxa" w:w="5156"/>
            <w:shd w:fill="F3F7FC"/>
            <w:vAlign w:val="center"/>
            <w:tcMar>
              <w:top w:w="100" w:type="dxa"/>
              <w:start w:w="120" w:type="dxa"/>
              <w:bottom w:w="100" w:type="dxa"/>
              <w:end w:w="120" w:type="dxa"/>
            </w:tcMar>
          </w:tcPr>
          <w:p>
            <w:r>
              <w:rPr>
                <w:rFonts w:ascii="Aptos" w:hAnsi="Aptos" w:eastAsia="Aptos"/>
                <w:b/>
                <w:color w:val="243042"/>
                <w:sz w:val="18"/>
              </w:rPr>
              <w:t>Cumplimiento verificable</w:t>
            </w:r>
          </w:p>
        </w:tc>
        <w:tc>
          <w:tcPr>
            <w:tcW w:type="dxa" w:w="5156"/>
            <w:vAlign w:val="center"/>
            <w:tcMar>
              <w:top w:w="100" w:type="dxa"/>
              <w:start w:w="120" w:type="dxa"/>
              <w:bottom w:w="100" w:type="dxa"/>
              <w:end w:w="120" w:type="dxa"/>
            </w:tcMar>
          </w:tcPr>
          <w:p>
            <w:r>
              <w:rPr>
                <w:rFonts w:ascii="Aptos" w:hAnsi="Aptos" w:eastAsia="Aptos"/>
                <w:b w:val="0"/>
                <w:color w:val="243042"/>
                <w:sz w:val="18"/>
              </w:rPr>
              <w:t>Los registros, manifiestos y hashes permiten revisar la evidencia sin publicar datos sensibles.</w:t>
            </w:r>
          </w:p>
        </w:tc>
      </w:tr>
    </w:tbl>
    <w:p/>
    <w:p>
      <w:pPr>
        <w:pStyle w:val="Heading2"/>
        <w:spacing w:before="400" w:after="140"/>
      </w:pPr>
      <w:r>
        <w:rPr>
          <w:rFonts w:ascii="Arial" w:hAnsi="Arial"/>
          <w:b/>
          <w:color w:val="3B82F6"/>
          <w:sz w:val="48"/>
        </w:rPr>
        <w:t>7. Qué ha hecho ENTIA ante la Comisión Europea</w:t>
      </w:r>
    </w:p>
    <w:p>
      <w:pPr>
        <w:spacing w:after="120"/>
      </w:pPr>
      <w:r>
        <w:rPr>
          <w:rFonts w:ascii="Arial" w:hAnsi="Arial"/>
          <w:b w:val="0"/>
          <w:i w:val="0"/>
          <w:color w:val="141C28"/>
          <w:sz w:val="20"/>
        </w:rPr>
        <w:t>ENTIA ha remitido un expediente técnico e institucional sobre el caso. La remisión tiene como finalidad abrir un canal técnico, facilitar una revisión operativa, proponer talleres de interoperabilidad y explorar un piloto limitado.</w:t>
      </w:r>
    </w:p>
    <w:p>
      <w:pPr>
        <w:spacing w:after="120"/>
      </w:pPr>
      <w:r>
        <w:rPr>
          <w:rFonts w:ascii="Arial" w:hAnsi="Arial"/>
          <w:b w:val="0"/>
          <w:i w:val="0"/>
          <w:color w:val="141C28"/>
          <w:sz w:val="20"/>
        </w:rPr>
        <w:t>La presentación del expediente no implica selección, apoyo, validación, adopción ni respaldo por parte de la Comisión Europea. ENTIA no debe utilizar logotipos institucionales ni lenguaje que sugiera una relación que no haya sido formalmente confirmada.</w:t>
      </w:r>
    </w:p>
    <w:p>
      <w:pPr>
        <w:pStyle w:val="Heading2"/>
        <w:spacing w:before="400" w:after="140"/>
      </w:pPr>
      <w:r>
        <w:rPr>
          <w:rFonts w:ascii="Arial" w:hAnsi="Arial"/>
          <w:b/>
          <w:color w:val="3B82F6"/>
          <w:sz w:val="48"/>
        </w:rPr>
        <w:t>8. Qué solicita institucionalmente</w:t>
      </w:r>
    </w:p>
    <w:p>
      <w:pPr>
        <w:pStyle w:val="ListBullet"/>
        <w:spacing w:after="60"/>
      </w:pPr>
      <w:r>
        <w:rPr>
          <w:rFonts w:ascii="Arial" w:hAnsi="Arial"/>
          <w:color w:val="141C28"/>
          <w:sz w:val="20"/>
        </w:rPr>
        <w:t>Un canal técnico para examinar la evidencia y la metodología.</w:t>
      </w:r>
    </w:p>
    <w:p>
      <w:pPr>
        <w:pStyle w:val="ListBullet"/>
        <w:spacing w:after="60"/>
      </w:pPr>
      <w:r>
        <w:rPr>
          <w:rFonts w:ascii="Arial" w:hAnsi="Arial"/>
          <w:color w:val="141C28"/>
          <w:sz w:val="20"/>
        </w:rPr>
        <w:t>Una revisión operativa de cómo se expresan, detectan y respetan las reservas de derechos máquina.</w:t>
      </w:r>
    </w:p>
    <w:p>
      <w:pPr>
        <w:pStyle w:val="ListBullet"/>
        <w:spacing w:after="60"/>
      </w:pPr>
      <w:r>
        <w:rPr>
          <w:rFonts w:ascii="Arial" w:hAnsi="Arial"/>
          <w:color w:val="141C28"/>
          <w:sz w:val="20"/>
        </w:rPr>
        <w:t>Diálogo entre titulares de corpus, operadores de IA, buscadores y autoridades.</w:t>
      </w:r>
    </w:p>
    <w:p>
      <w:pPr>
        <w:pStyle w:val="ListBullet"/>
        <w:spacing w:after="60"/>
      </w:pPr>
      <w:r>
        <w:rPr>
          <w:rFonts w:ascii="Arial" w:hAnsi="Arial"/>
          <w:color w:val="141C28"/>
          <w:sz w:val="20"/>
        </w:rPr>
        <w:t>Talleres de interoperabilidad sobre identidad, licencias, telemetría y trazabilidad.</w:t>
      </w:r>
    </w:p>
    <w:p>
      <w:pPr>
        <w:pStyle w:val="ListBullet"/>
        <w:spacing w:after="60"/>
      </w:pPr>
      <w:r>
        <w:rPr>
          <w:rFonts w:ascii="Arial" w:hAnsi="Arial"/>
          <w:color w:val="141C28"/>
          <w:sz w:val="20"/>
        </w:rPr>
        <w:t>Un piloto limitado que permita probar mecanismos de autorización y continuidad del acceso.</w:t>
      </w:r>
    </w:p>
    <w:p>
      <w:pPr>
        <w:pStyle w:val="ListBullet"/>
        <w:spacing w:after="60"/>
      </w:pPr>
      <w:r>
        <w:rPr>
          <w:rFonts w:ascii="Arial" w:hAnsi="Arial"/>
          <w:color w:val="141C28"/>
          <w:sz w:val="20"/>
        </w:rPr>
        <w:t>Claridad sobre cómo conectar derechos existentes con prácticas técnicas verificables.</w:t>
      </w:r>
    </w:p>
    <w:p>
      <w:pPr>
        <w:pStyle w:val="Heading2"/>
        <w:spacing w:before="400" w:after="140"/>
      </w:pPr>
      <w:r>
        <w:rPr>
          <w:rFonts w:ascii="Arial" w:hAnsi="Arial"/>
          <w:b/>
          <w:color w:val="3B82F6"/>
          <w:sz w:val="48"/>
        </w:rPr>
        <w:t>9. Qué no solicita</w:t>
      </w:r>
    </w:p>
    <w:p>
      <w:pPr>
        <w:pStyle w:val="ListBullet"/>
        <w:spacing w:after="60"/>
      </w:pPr>
      <w:r>
        <w:rPr>
          <w:rFonts w:ascii="Arial" w:hAnsi="Arial"/>
          <w:color w:val="141C28"/>
          <w:sz w:val="20"/>
        </w:rPr>
        <w:t>Que Europa declare que cada solicitud automática es una infracción.</w:t>
      </w:r>
    </w:p>
    <w:p>
      <w:pPr>
        <w:pStyle w:val="ListBullet"/>
        <w:spacing w:after="60"/>
      </w:pPr>
      <w:r>
        <w:rPr>
          <w:rFonts w:ascii="Arial" w:hAnsi="Arial"/>
          <w:color w:val="141C28"/>
          <w:sz w:val="20"/>
        </w:rPr>
        <w:t>Que se presuma entrenamiento a partir de un User-Agent.</w:t>
      </w:r>
    </w:p>
    <w:p>
      <w:pPr>
        <w:pStyle w:val="ListBullet"/>
        <w:spacing w:after="60"/>
      </w:pPr>
      <w:r>
        <w:rPr>
          <w:rFonts w:ascii="Arial" w:hAnsi="Arial"/>
          <w:color w:val="141C28"/>
          <w:sz w:val="20"/>
        </w:rPr>
        <w:t>Que se prohíba el crawling de forma general.</w:t>
      </w:r>
    </w:p>
    <w:p>
      <w:pPr>
        <w:pStyle w:val="ListBullet"/>
        <w:spacing w:after="60"/>
      </w:pPr>
      <w:r>
        <w:rPr>
          <w:rFonts w:ascii="Arial" w:hAnsi="Arial"/>
          <w:color w:val="141C28"/>
          <w:sz w:val="20"/>
        </w:rPr>
        <w:t>Que la Comisión reconozca una deuda automática por solicitud.</w:t>
      </w:r>
    </w:p>
    <w:p>
      <w:pPr>
        <w:pStyle w:val="ListBullet"/>
        <w:spacing w:after="60"/>
      </w:pPr>
      <w:r>
        <w:rPr>
          <w:rFonts w:ascii="Arial" w:hAnsi="Arial"/>
          <w:color w:val="141C28"/>
          <w:sz w:val="20"/>
        </w:rPr>
        <w:t>Que se cree un derecho exclusivo sobre datos públicos aislados.</w:t>
      </w:r>
    </w:p>
    <w:p>
      <w:pPr>
        <w:pStyle w:val="ListBullet"/>
        <w:spacing w:after="60"/>
      </w:pPr>
      <w:r>
        <w:rPr>
          <w:rFonts w:ascii="Arial" w:hAnsi="Arial"/>
          <w:color w:val="141C28"/>
          <w:sz w:val="20"/>
        </w:rPr>
        <w:t>Que se confunda la inversión de ENTIA con la titularidad de cada dato de origen.</w:t>
      </w:r>
    </w:p>
    <w:p>
      <w:pPr>
        <w:pStyle w:val="Heading2"/>
        <w:spacing w:before="400" w:after="140"/>
      </w:pPr>
      <w:r>
        <w:rPr>
          <w:rFonts w:ascii="Arial" w:hAnsi="Arial"/>
          <w:b/>
          <w:color w:val="3B82F6"/>
          <w:sz w:val="48"/>
        </w:rPr>
        <w:t>10. El objeto protegido no es una lista de datos públicos</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El dato de origen puede ser público. El objeto resuelto, verificado, cruzado y enriquecido que entrega ENTIA es el resultado de una infraestructura y de algoritmos propietarios.</w:t>
            </w:r>
          </w:p>
        </w:tc>
      </w:tr>
    </w:tbl>
    <w:p/>
    <w:p>
      <w:pPr>
        <w:spacing w:after="120"/>
      </w:pPr>
      <w:r>
        <w:rPr>
          <w:rFonts w:ascii="Arial" w:hAnsi="Arial"/>
          <w:b w:val="0"/>
          <w:i w:val="0"/>
          <w:color w:val="141C28"/>
          <w:sz w:val="20"/>
        </w:rPr>
        <w:t>El crawler no recupera una simple colección de datos públicos. Recupera el resultado de una infraestructura propietaria de resolución, verificación, enriquecimiento y gobernanza del dato. La protección concreta aplicable dependerá de cada elemento, del conjunto, de la inversión, de las condiciones de acceso y de la legislación nacional competente.</w:t>
      </w:r>
    </w:p>
    <w:p>
      <w:pPr>
        <w:pStyle w:val="Heading2"/>
        <w:spacing w:before="400" w:after="140"/>
      </w:pPr>
      <w:r>
        <w:rPr>
          <w:rFonts w:ascii="Arial" w:hAnsi="Arial"/>
          <w:b/>
          <w:color w:val="3B82F6"/>
          <w:sz w:val="48"/>
        </w:rPr>
        <w:t>11. Del derecho abstracto al mecanismo operativo</w:t>
      </w:r>
    </w:p>
    <w:p>
      <w:pPr>
        <w:spacing w:after="120"/>
      </w:pPr>
      <w:r>
        <w:rPr>
          <w:rFonts w:ascii="Arial" w:hAnsi="Arial"/>
          <w:b w:val="0"/>
          <w:i w:val="0"/>
          <w:color w:val="141C28"/>
          <w:sz w:val="20"/>
        </w:rPr>
        <w:t>EMAC propone trasladar principios jurídicos ya existentes a una secuencia técnica verificable:</w:t>
      </w:r>
    </w:p>
    <w:p>
      <w:pPr>
        <w:pStyle w:val="ListBullet"/>
        <w:spacing w:after="60"/>
      </w:pPr>
      <w:r>
        <w:rPr>
          <w:rFonts w:ascii="Arial" w:hAnsi="Arial"/>
          <w:color w:val="141C28"/>
          <w:sz w:val="20"/>
        </w:rPr>
        <w:t>El titular expresa las condiciones y reservas de forma accesible para máquinas.</w:t>
      </w:r>
    </w:p>
    <w:p>
      <w:pPr>
        <w:pStyle w:val="ListBullet"/>
        <w:spacing w:after="60"/>
      </w:pPr>
      <w:r>
        <w:rPr>
          <w:rFonts w:ascii="Arial" w:hAnsi="Arial"/>
          <w:color w:val="141C28"/>
          <w:sz w:val="20"/>
        </w:rPr>
        <w:t>El operador puede identificar el recurso y la política aplicable.</w:t>
      </w:r>
    </w:p>
    <w:p>
      <w:pPr>
        <w:pStyle w:val="ListBullet"/>
        <w:spacing w:after="60"/>
      </w:pPr>
      <w:r>
        <w:rPr>
          <w:rFonts w:ascii="Arial" w:hAnsi="Arial"/>
          <w:color w:val="141C28"/>
          <w:sz w:val="20"/>
        </w:rPr>
        <w:t>La infraestructura mide el acceso y conserva la evidencia.</w:t>
      </w:r>
    </w:p>
    <w:p>
      <w:pPr>
        <w:pStyle w:val="ListBullet"/>
        <w:spacing w:after="60"/>
      </w:pPr>
      <w:r>
        <w:rPr>
          <w:rFonts w:ascii="Arial" w:hAnsi="Arial"/>
          <w:color w:val="141C28"/>
          <w:sz w:val="20"/>
        </w:rPr>
        <w:t>La licencia habilita la continuidad autorizada del acceso.</w:t>
      </w:r>
    </w:p>
    <w:p>
      <w:pPr>
        <w:pStyle w:val="ListBullet"/>
        <w:spacing w:after="60"/>
      </w:pPr>
      <w:r>
        <w:rPr>
          <w:rFonts w:ascii="Arial" w:hAnsi="Arial"/>
          <w:color w:val="141C28"/>
          <w:sz w:val="20"/>
        </w:rPr>
        <w:t>La ausencia de licencia puede dar lugar a limitaciones técnicas proporcionadas conforme a condiciones publicadas.</w:t>
      </w:r>
    </w:p>
    <w:p>
      <w:pPr>
        <w:pStyle w:val="ListBullet"/>
        <w:spacing w:after="60"/>
      </w:pPr>
      <w:r>
        <w:rPr>
          <w:rFonts w:ascii="Arial" w:hAnsi="Arial"/>
          <w:color w:val="141C28"/>
          <w:sz w:val="20"/>
        </w:rPr>
        <w:t>Las controversias se analizan sobre registros verificables, no sobre suposiciones.</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El acceso ya existe. La licencia habilita su continuidad.</w:t>
            </w:r>
          </w:p>
        </w:tc>
      </w:tr>
    </w:tbl>
    <w:p/>
    <w:p>
      <w:pPr>
        <w:pStyle w:val="Heading2"/>
        <w:spacing w:before="400" w:after="140"/>
      </w:pPr>
      <w:r>
        <w:rPr>
          <w:rFonts w:ascii="Arial" w:hAnsi="Arial"/>
          <w:b/>
          <w:color w:val="3B82F6"/>
          <w:sz w:val="48"/>
        </w:rPr>
        <w:t>12. Límites jurídicos y editoriales</w:t>
      </w:r>
    </w:p>
    <w:p>
      <w:pPr>
        <w:spacing w:after="120"/>
      </w:pPr>
      <w:r>
        <w:rPr>
          <w:rFonts w:ascii="Arial" w:hAnsi="Arial"/>
          <w:b w:val="0"/>
          <w:i w:val="0"/>
          <w:color w:val="141C28"/>
          <w:sz w:val="20"/>
        </w:rPr>
        <w:t>Esta pieza describe el marco regulatorio relevante para la comunicación del caso; no sustituye un dictamen jurídico sobre hechos, jurisdicciones u operadores concretos. Cualquier reclamación deberá examinar los derechos aplicables, la legislación nacional, la atribución técnica, las condiciones de acceso, la finalidad y la evidencia disponible.</w:t>
      </w:r>
    </w:p>
    <w:p>
      <w:pPr>
        <w:pStyle w:val="ListBullet"/>
        <w:spacing w:after="60"/>
      </w:pPr>
      <w:r>
        <w:rPr>
          <w:rFonts w:ascii="Arial" w:hAnsi="Arial"/>
          <w:color w:val="141C28"/>
          <w:sz w:val="20"/>
        </w:rPr>
        <w:t>No presentar la reserva de derechos como una prohibición automática de cualquier acceso.</w:t>
      </w:r>
    </w:p>
    <w:p>
      <w:pPr>
        <w:pStyle w:val="ListBullet"/>
        <w:spacing w:after="60"/>
      </w:pPr>
      <w:r>
        <w:rPr>
          <w:rFonts w:ascii="Arial" w:hAnsi="Arial"/>
          <w:color w:val="141C28"/>
          <w:sz w:val="20"/>
        </w:rPr>
        <w:t>No afirmar que la existencia de telemetría prueba entrenamiento o reutilización.</w:t>
      </w:r>
    </w:p>
    <w:p>
      <w:pPr>
        <w:pStyle w:val="ListBullet"/>
        <w:spacing w:after="60"/>
      </w:pPr>
      <w:r>
        <w:rPr>
          <w:rFonts w:ascii="Arial" w:hAnsi="Arial"/>
          <w:color w:val="141C28"/>
          <w:sz w:val="20"/>
        </w:rPr>
        <w:t>No presentar el AI Act como fuente de un canon automático por crawling.</w:t>
      </w:r>
    </w:p>
    <w:p>
      <w:pPr>
        <w:pStyle w:val="ListBullet"/>
        <w:spacing w:after="60"/>
      </w:pPr>
      <w:r>
        <w:rPr>
          <w:rFonts w:ascii="Arial" w:hAnsi="Arial"/>
          <w:color w:val="141C28"/>
          <w:sz w:val="20"/>
        </w:rPr>
        <w:t>No afirmar que el Código de Buenas Prácticas sustituye la ley.</w:t>
      </w:r>
    </w:p>
    <w:p>
      <w:pPr>
        <w:pStyle w:val="ListBullet"/>
        <w:spacing w:after="60"/>
      </w:pPr>
      <w:r>
        <w:rPr>
          <w:rFonts w:ascii="Arial" w:hAnsi="Arial"/>
          <w:color w:val="141C28"/>
          <w:sz w:val="20"/>
        </w:rPr>
        <w:t>No sugerir respaldo institucional donde solo existe una remisión o solicitud de revisión.</w:t>
      </w:r>
    </w:p>
    <w:p>
      <w:pPr>
        <w:pStyle w:val="Heading2"/>
        <w:spacing w:before="400" w:after="140"/>
      </w:pPr>
      <w:r>
        <w:rPr>
          <w:rFonts w:ascii="Arial" w:hAnsi="Arial"/>
          <w:b/>
          <w:color w:val="3B82F6"/>
          <w:sz w:val="48"/>
        </w:rPr>
        <w:t>13. Formulación institucional aprobada</w:t>
      </w:r>
    </w:p>
    <w:tbl>
      <w:tblPr>
        <w:tblW w:type="auto" w:w="0"/>
        <w:jc w:val="center"/>
        <w:tblLayout w:type="autofit"/>
        <w:tblLook w:firstColumn="1" w:firstRow="1" w:lastColumn="0" w:lastRow="0" w:noHBand="0" w:noVBand="1" w:val="04A0"/>
      </w:tblPr>
      <w:tblGrid>
        <w:gridCol w:w="10312"/>
      </w:tblGrid>
      <w:tr>
        <w:tc>
          <w:tcPr>
            <w:tcW w:type="dxa" w:w="10312"/>
            <w:shd w:fill="F1F5F9"/>
            <w:vAlign w:val="center"/>
            <w:tcMar>
              <w:top w:w="100" w:type="dxa"/>
              <w:start w:w="120" w:type="dxa"/>
              <w:bottom w:w="100" w:type="dxa"/>
              <w:end w:w="120" w:type="dxa"/>
            </w:tcMar>
          </w:tcPr>
          <w:p>
            <w:r>
              <w:rPr>
                <w:rFonts w:ascii="Aptos" w:hAnsi="Aptos" w:eastAsia="Aptos"/>
                <w:b/>
                <w:color w:val="243042"/>
                <w:sz w:val="18"/>
              </w:rPr>
              <w:t>ENTIA no pide a Europa que invente un nuevo derecho. Aporta un caso documentado para examinar cómo se aplican en conjunto los derechos y mecanismos que Europa ya ha establecido.</w:t>
            </w:r>
          </w:p>
        </w:tc>
      </w:tr>
    </w:tbl>
    <w:p/>
    <w:p>
      <w:pPr>
        <w:pStyle w:val="Heading2"/>
        <w:spacing w:before="160" w:after="60"/>
      </w:pPr>
      <w:r>
        <w:rPr>
          <w:rFonts w:ascii="Arial" w:hAnsi="Arial"/>
          <w:b/>
          <w:color w:val="3B82F6"/>
          <w:sz w:val="34"/>
        </w:rPr>
        <w:t>14. Fuentes oficiales</w:t>
      </w:r>
    </w:p>
    <w:p>
      <w:pPr>
        <w:spacing w:after="20" w:line="204" w:lineRule="auto"/>
      </w:pPr>
      <w:r>
        <w:rPr>
          <w:rFonts w:ascii="Arial" w:hAnsi="Arial"/>
          <w:sz w:val="14"/>
        </w:rPr>
        <w:t>[1] Directiva (UE) 2019/790, artículo 4: minería de textos y datos — https://eur-lex.europa.eu/eli/dir/2019/790/oj</w:t>
      </w:r>
    </w:p>
    <w:p>
      <w:pPr>
        <w:spacing w:after="20" w:line="204" w:lineRule="auto"/>
      </w:pPr>
      <w:r>
        <w:rPr>
          <w:rFonts w:ascii="Arial" w:hAnsi="Arial"/>
          <w:sz w:val="14"/>
        </w:rPr>
        <w:t>[2] Directiva 96/9/CE, artículo 7: protección jurídica de las bases de datos — https://eur-lex.europa.eu/legal-content/ES/TXT/?uri=CELEX:31996L0009</w:t>
      </w:r>
    </w:p>
    <w:p>
      <w:pPr>
        <w:spacing w:after="20" w:line="204" w:lineRule="auto"/>
      </w:pPr>
      <w:r>
        <w:rPr>
          <w:rFonts w:ascii="Arial" w:hAnsi="Arial"/>
          <w:sz w:val="14"/>
        </w:rPr>
        <w:t>[3] Reglamento (UE) 2024/1689, artículo 53: obligaciones de los proveedores de modelos de IA de uso general — https://eur-lex.europa.eu/eli/reg/2024/1689/oj</w:t>
      </w:r>
    </w:p>
    <w:p>
      <w:pPr>
        <w:spacing w:after="20" w:line="204" w:lineRule="auto"/>
      </w:pPr>
      <w:r>
        <w:rPr>
          <w:rFonts w:ascii="Arial" w:hAnsi="Arial"/>
          <w:sz w:val="14"/>
        </w:rPr>
        <w:t>[4] Comisión Europea: plantilla para el resumen público del contenido de entrenamiento de modelos GPAI — https://digital-strategy.ec.europa.eu/en/faqs/template-general-purpose-ai-model-providers-summarise-their-training-content</w:t>
      </w:r>
    </w:p>
    <w:p>
      <w:pPr>
        <w:spacing w:after="20" w:line="204" w:lineRule="auto"/>
      </w:pPr>
      <w:r>
        <w:rPr>
          <w:rFonts w:ascii="Arial" w:hAnsi="Arial"/>
          <w:sz w:val="14"/>
        </w:rPr>
        <w:t>[5] Comisión Europea: Código de Buenas Prácticas para modelos de IA de propósito general — https://digital-strategy.ec.europa.eu/en/policies/contents-code-gpai</w:t>
      </w:r>
    </w:p>
    <w:sectPr w:rsidR="00FC693F" w:rsidRPr="0006063C" w:rsidSect="00034616">
      <w:headerReference w:type="default" r:id="rId9"/>
      <w:footerReference w:type="default" r:id="rId10"/>
      <w:pgSz w:w="12240" w:h="15840"/>
      <w:pgMar w:top="1037" w:right="1123" w:bottom="936" w:left="1123"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475569"/>
        <w:sz w:val="16"/>
      </w:rPr>
      <w:t xml:space="preserve">ENTIA · entia.systems/press · fv@entia.systems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Contexto regulatorio</w:t>
    </w:r>
  </w:p>
  <w:tbl>
    <w:tblPr>
      <w:tblW w:type="auto" w:w="0"/>
      <w:jc w:val="center"/>
      <w:tblLayout w:type="fixed"/>
      <w:tblLook w:firstColumn="1" w:firstRow="1" w:lastColumn="0" w:lastRow="0" w:noHBand="0" w:noVBand="1" w:val="04A0"/>
      <w:bottom w:val="single" w:sz="12" w:color="2563EB"/>
      <w:bottom w:val="single" w:sz="12" w:color="2563EB"/>
      <w:bottom w:val="single" w:sz="12" w:color="2563EB"/>
    </w:tblPr>
    <w:tblGrid>
      <w:gridCol w:w="1584"/>
      <w:gridCol w:w="8064"/>
    </w:tblGrid>
    <w:tr>
      <w:tc>
        <w:tcPr>
          <w:tcW w:type="dxa" w:w="4824"/>
          <w:tcMar>
            <w:top w:w="0" w:type="dxa"/>
            <w:start w:w="0" w:type="dxa"/>
            <w:bottom w:w="70" w:type="dxa"/>
            <w:end w:w="0" w:type="dxa"/>
          </w:tcMar>
        </w:tcPr>
        <w:p>
          <w:r/>
          <w:r>
            <w:rPr>
              <w:rFonts w:ascii="Aptos Display" w:hAnsi="Aptos Display" w:eastAsia="Aptos Display"/>
              <w:b/>
              <w:color w:val="07101D"/>
              <w:sz w:val="24"/>
            </w:rPr>
            <w:t>ENTIA</w:t>
          </w:r>
        </w:p>
      </w:tc>
      <w:tc>
        <w:tcPr>
          <w:tcW w:type="dxa" w:w="4824"/>
          <w:tcMar>
            <w:top w:w="0" w:type="dxa"/>
            <w:start w:w="0" w:type="dxa"/>
            <w:bottom w:w="70" w:type="dxa"/>
            <w:end w:w="0" w:type="dxa"/>
          </w:tcMar>
        </w:tcPr>
        <w:p>
          <w:pPr>
            <w:jc w:val="right"/>
          </w:pPr>
          <w:r/>
          <w:r>
            <w:rPr>
              <w:rFonts w:ascii="Aptos" w:hAnsi="Aptos" w:eastAsia="Aptos"/>
              <w:b/>
              <w:color w:val="2563EB"/>
              <w:sz w:val="16"/>
            </w:rPr>
            <w:t>EUROPEAN MACHINE ACCESS CASE</w:t>
            <w:br/>
            <w:t>PRESS MATERIAL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eastAsia="Aptos"/>
      <w:color w:val="2430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eastAsia="Aptos Display"/>
      <w:b/>
      <w:bCs/>
      <w:color w:val="07101D"/>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eastAsia="Aptos Display"/>
      <w:b/>
      <w:bCs/>
      <w:color w:val="07101D"/>
      <w:sz w:val="28"/>
      <w:szCs w:val="26"/>
    </w:rPr>
  </w:style>
  <w:style w:type="paragraph" w:styleId="Heading3">
    <w:name w:val="heading 3"/>
    <w:basedOn w:val="Normal"/>
    <w:next w:val="Normal"/>
    <w:link w:val="Heading3Char"/>
    <w:uiPriority w:val="9"/>
    <w:unhideWhenUsed/>
    <w:qFormat/>
    <w:rsid w:val="00FC693F"/>
    <w:pPr>
      <w:keepNext/>
      <w:keepLines/>
      <w:spacing w:before="280" w:after="140"/>
      <w:outlineLvl w:val="2"/>
    </w:pPr>
    <w:rPr>
      <w:rFonts w:asciiTheme="majorHAnsi" w:eastAsiaTheme="majorEastAsia" w:hAnsiTheme="majorHAnsi" w:cstheme="majorBidi" w:ascii="Aptos Display" w:hAnsi="Aptos Display" w:eastAsia="Aptos Display"/>
      <w:b/>
      <w:bCs/>
      <w:color w:val="2563E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eastAsia="Aptos Display"/>
      <w:b/>
      <w:color w:val="07101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ptos Display" w:hAnsi="Aptos Display" w:eastAsia="Aptos Display"/>
      <w:b w:val="0"/>
      <w:i/>
      <w:iCs/>
      <w:color w:val="475569"/>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PIEZA 10 · CONTEXTO REGULATORIO EUROPEO</dc:title>
  <dc:subject>ENTIA European Machine Access Case press material</dc:subject>
  <dc:creator>ENTIA / PrecisionAI Marketing OÜ</dc:creator>
  <cp:keywords>ENTIA, EMAC, machine access, press room</cp:keywords>
  <dc:description>Official press-room edition. Source: entia.systems/press</dc:description>
  <cp:lastModifiedBy/>
  <cp:revision>1</cp:revision>
  <dcterms:created xsi:type="dcterms:W3CDTF">2013-12-23T23:15:00Z</dcterms:created>
  <dcterms:modified xsi:type="dcterms:W3CDTF">2013-12-23T23:15:00Z</dcterms:modified>
  <cp:category/>
</cp:coreProperties>
</file>