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23360" cy="7181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7181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  <w:spacing w:after="60"/>
        <w:jc w:val="center"/>
      </w:pPr>
      <w:r>
        <w:rPr>
          <w:rFonts w:ascii="Arial" w:hAnsi="Arial"/>
          <w:b/>
          <w:color w:val="3B82F6"/>
          <w:sz w:val="20"/>
        </w:rPr>
        <w:t>PIEZA 11 · BANCO DE CITAS AUTORIZADAS</w:t>
      </w:r>
    </w:p>
    <w:p>
      <w:pPr>
        <w:pStyle w:val="Title"/>
        <w:spacing w:after="200"/>
        <w:jc w:val="center"/>
      </w:pPr>
      <w:r>
        <w:rPr>
          <w:rFonts w:ascii="Arial" w:hAnsi="Arial"/>
          <w:b/>
          <w:color w:val="141C28"/>
          <w:sz w:val="48"/>
        </w:rPr>
        <w:t>Frases para prensa, entrevistas y comunicación institucional</w:t>
      </w:r>
    </w:p>
    <w:p>
      <w:pPr>
        <w:pStyle w:val="Subtitle"/>
        <w:spacing w:after="360"/>
        <w:jc w:val="center"/>
      </w:pPr>
      <w:r>
        <w:rPr>
          <w:rFonts w:ascii="Arial" w:hAnsi="Arial"/>
          <w:b w:val="0"/>
          <w:color w:val="5A6473"/>
          <w:sz w:val="24"/>
        </w:rPr>
        <w:t>Mensajes aprobados para mantener una narrativa precisa, defendible y coherente.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USO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“Las citas pueden abreviarse por razones editoriales siempre que no se altere su sentido, atribución o alcance probatorio.”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Regla de uso editorial</w:t>
            </w:r>
          </w:p>
        </w:tc>
      </w:tr>
    </w:tbl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1. Citas principales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TITULAR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“El acceso ya existe. La licencia habilita su continuidad.”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TITULAR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“ENTIA no vende una nueva integración. Formaliza las condiciones de continuidad de un acceso que ya está ocurriendo.”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TELEMETRÍA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“No estamos intentando adivinar qué ocurre dentro de los modelos. Estamos documentando qué sale de nuestra infraestructura, quién lo solicita y con qué frecuencia.”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TELEMETRÍA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“La telemetría acredita acceso y entrega. No se utiliza para atribuir usos posteriores que no hayan sido demostrados.”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DISCIPLINA PROBATORIA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“La precisión no debilita el caso. Lo convierte en un caso defendible.”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IDENTIDAD ECONÓMICA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“Un crawler no recupera una página genérica. Recupera el resultado de una infraestructura de resolución, verificación, enriquecimiento y gobernanza del dato.”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2. ENTIA, identidad económica y activo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IDENTIDAD ECONÓMICA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“El dato de origen puede ser público. El objeto resuelto, verificado, cruzado y enriquecido que entrega ENTIA es el resultado de una infraestructura y de algoritmos propietarios.”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ACTIVO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“ENTIA Home es una proyección pública del grafo canónico de identidad económica; el activo es la infraestructura viva que mantiene evidencia, procedencia, temporalidad, correcciones y relaciones.”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MODELO DE INTERNET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“Durante veinticinco años, Internet se organizó alrededor del clic. La siguiente etapa se organizará alrededor de agentes que acceden, interpretan y deciden.”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3. Del clic a los agentes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MODELO DE INTERNET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“La visibilidad ya no termina necesariamente en una visita. Un agente puede acceder, recuperar, sintetizar e influir sin devolver un clic identificable.”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MARCO DE CINCO CAPAS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“Acceso, elegibilidad, recuperación, citación e influencia son capas distintas. Confundirlas produce conclusiones débiles.”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COMPORTAMIENTO MÁQUINA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“La adquisición persistente del corpus y la recuperación episódica en tiempo de respuesta son comportamientos distintos y deben medirse de forma distinta.”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4. Europa e instituciones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EUROPA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“ENTIA no pide a Europa que invente un nuevo derecho. Aporta un caso documentado para examinar cómo se aplican en conjunto los derechos y mecanismos que Europa ya ha establecido.”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EUROPA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“Europa ya ha creado las piezas jurídicas. El reto es conectarlas con corpus reales, señales legibles por máquina y evidencia verificable de acceso.”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INSTITUCIONAL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“La remisión del expediente no implica respaldo ni aprobación de la Comisión Europea. Implica que existe un caso técnico documentado que merece revisión institucional.”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5. Licencia, continuidad y gobernanza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COMERCIAL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“ENTIA no vende una descarga puntual. Vende continuidad autorizada sobre una infraestructura viva: corpus actual, cambios, correcciones, resolución, evidencia y deltas.”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COMERCIAL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“El operador no tiene que revelar su arquitectura ni su finalidad interna. ENTIA observa el acceso y ofrece un marco contractual para que continúe.”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GOBERNANZA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“Gobernar no significa bloquear por defecto. Significa saber qué se accede, bajo qué condiciones y con qué trazabilidad.”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6. Posicionamiento de Fernando Vilches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FERNANDO VILCHES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“Mi trabajo consiste en entender cómo los LLMs y los agentes transforman el modelo de publicación y de marketing construido durante veinticinco años alrededor del clic.”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FERNANDO VILCHES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“Llego a la inteligencia artificial desde el marketing, el anunciante y la tecnología. La telemetría me permite observar la transición desde dentro de la infraestructura.”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7. Citas cortas para titulares y destacados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Cita corta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Uso recomendado</w:t>
            </w:r>
          </w:p>
        </w:tc>
      </w:tr>
      <w:tr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El acceso ya existe. La licencia habilita su continuidad.</w:t>
            </w:r>
          </w:p>
        </w:tc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Titular o cierre</w:t>
            </w:r>
          </w:p>
        </w:tc>
      </w:tr>
      <w:tr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precisión convierte la telemetría en evidencia defendible.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Metodología</w:t>
            </w:r>
          </w:p>
        </w:tc>
      </w:tr>
      <w:tr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Acceso no equivale a entrenamiento demostrado.</w:t>
            </w:r>
          </w:p>
        </w:tc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Límite probatorio</w:t>
            </w:r>
          </w:p>
        </w:tc>
      </w:tr>
      <w:tr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Una ENTIA Home no es una página: es una proyección de identidad económica resuelta.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Explicación de producto</w:t>
            </w:r>
          </w:p>
        </w:tc>
      </w:tr>
      <w:tr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Internet pasó del clic al agente.</w:t>
            </w:r>
          </w:p>
        </w:tc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Cambio de paradigma</w:t>
            </w:r>
          </w:p>
        </w:tc>
      </w:tr>
      <w:tr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visibilidad sin tráfico ya es una realidad medible.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Marketing y medios</w:t>
            </w:r>
          </w:p>
        </w:tc>
      </w:tr>
      <w:tr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Gobernar el acceso no es adivinar la finalidad.</w:t>
            </w:r>
          </w:p>
        </w:tc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Gobernanza</w:t>
            </w:r>
          </w:p>
        </w:tc>
      </w:tr>
      <w:tr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observa lo que sale de su infraestructura.</w:t>
            </w:r>
          </w:p>
        </w:tc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Telemetría</w:t>
            </w:r>
          </w:p>
        </w:tc>
      </w:tr>
    </w:tbl>
    <w:p/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8. Reglas de atribución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Usar “Fernando Vilches, fundador de ENTIA” en la primera mención.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En piezas técnicas puede utilizarse “Fernando Vilches / ENTIA”.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atribuir a ENTIA afirmaciones sobre entrenamiento, almacenamiento o uso interno que no hayan sido demostradas.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presentar la remisión a la Comisión Europea como respaldo, selección o aprobación.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describir ENTIA como empresa GEO, directorio, scraper o dataset estático.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sustituir “infraestructura global” por “infraestructura europea”; lo europeo es EMAC como caso institucional y regulatorio.</w:t>
      </w:r>
    </w:p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9. Cierre autorizado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Aptos" w:hAnsi="Aptos" w:eastAsia="Aptos"/>
                <w:b/>
                <w:color w:val="243042"/>
                <w:sz w:val="18"/>
              </w:rPr>
              <w:t>CIERRE</w:t>
              <w:br/>
            </w:r>
            <w:r>
              <w:rPr>
                <w:rFonts w:ascii="Aptos" w:hAnsi="Aptos" w:eastAsia="Aptos"/>
                <w:b/>
                <w:color w:val="243042"/>
                <w:sz w:val="18"/>
              </w:rPr>
              <w:t>“Durante veinticinco años medimos Internet por el clic. Ahora necesitamos medir también quién accede, qué recupera, qué cita y qué influencia sin devolver necesariamente una visita.”</w:t>
            </w:r>
          </w:p>
          <w:p>
            <w:r>
              <w:rPr>
                <w:rFonts w:ascii="Aptos" w:hAnsi="Aptos" w:eastAsia="Aptos"/>
                <w:color w:val="243042"/>
                <w:sz w:val="18"/>
              </w:rPr>
              <w:t>Fernando Vilches / ENTIA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36" w:left="1123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475569"/>
        <w:sz w:val="16"/>
      </w:rPr>
      <w:t xml:space="preserve">ENTIA · entia.systems/press · fv@entia.systems   | 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Banco de citas</w:t>
    </w:r>
  </w:p>
  <w:tbl>
    <w:tblPr>
      <w:tblW w:type="auto" w:w="0"/>
      <w:jc w:val="center"/>
      <w:tblLayout w:type="fixed"/>
      <w:tblLook w:firstColumn="1" w:firstRow="1" w:lastColumn="0" w:lastRow="0" w:noHBand="0" w:noVBand="1" w:val="04A0"/>
      <w:bottom w:val="single" w:sz="12" w:color="2563EB"/>
      <w:bottom w:val="single" w:sz="12" w:color="2563EB"/>
      <w:bottom w:val="single" w:sz="12" w:color="2563EB"/>
    </w:tblPr>
    <w:tblGrid>
      <w:gridCol w:w="1584"/>
      <w:gridCol w:w="8064"/>
    </w:tblGrid>
    <w:tr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r/>
          <w:r>
            <w:rPr>
              <w:rFonts w:ascii="Aptos Display" w:hAnsi="Aptos Display" w:eastAsia="Aptos Display"/>
              <w:b/>
              <w:color w:val="07101D"/>
              <w:sz w:val="24"/>
            </w:rPr>
            <w:t>ENTIA</w:t>
          </w:r>
        </w:p>
      </w:tc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pPr>
            <w:jc w:val="right"/>
          </w:pPr>
          <w:r/>
          <w:r>
            <w:rPr>
              <w:rFonts w:ascii="Aptos" w:hAnsi="Aptos" w:eastAsia="Aptos"/>
              <w:b/>
              <w:color w:val="2563EB"/>
              <w:sz w:val="16"/>
            </w:rPr>
            <w:t>EUROPEAN MACHINE ACCESS CASE</w:t>
            <w:br/>
            <w:t>PRESS MATERIAL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ptos" w:hAnsi="Aptos" w:eastAsia="Aptos"/>
      <w:color w:val="2430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4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2563E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07101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ptos Display" w:hAnsi="Aptos Display" w:eastAsia="Aptos Display"/>
      <w:b w:val="0"/>
      <w:i/>
      <w:iCs/>
      <w:color w:val="475569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PIEZA 11 · BANCO DE CITAS AUTORIZADAS</dc:title>
  <dc:subject>ENTIA European Machine Access Case press material</dc:subject>
  <dc:creator>ENTIA / PrecisionAI Marketing OÜ</dc:creator>
  <cp:keywords>ENTIA, EMAC, machine access, press room</cp:keywords>
  <dc:description>Official press-room edition. Source: entia.systems/press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